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63" w:rsidRDefault="006E5363" w:rsidP="006E5363">
      <w:pPr>
        <w:spacing w:line="460" w:lineRule="exact"/>
        <w:jc w:val="center"/>
        <w:rPr>
          <w:rFonts w:ascii="標楷體" w:eastAsia="標楷體" w:hAnsi="標楷體"/>
          <w:b/>
          <w:sz w:val="36"/>
          <w:szCs w:val="36"/>
        </w:rPr>
      </w:pPr>
      <w:r w:rsidRPr="006E5363">
        <w:rPr>
          <w:rFonts w:ascii="標楷體" w:eastAsia="標楷體" w:hAnsi="標楷體" w:hint="eastAsia"/>
          <w:b/>
          <w:sz w:val="36"/>
          <w:szCs w:val="36"/>
        </w:rPr>
        <w:t>102年至104年協助宣導托育、福利措施場合</w:t>
      </w:r>
    </w:p>
    <w:p w:rsidR="00A54810" w:rsidRPr="006E5363" w:rsidRDefault="006E5363" w:rsidP="006E5363">
      <w:pPr>
        <w:spacing w:line="460" w:lineRule="exact"/>
        <w:jc w:val="center"/>
        <w:rPr>
          <w:rFonts w:ascii="標楷體" w:eastAsia="標楷體" w:hAnsi="標楷體"/>
          <w:b/>
          <w:sz w:val="36"/>
          <w:szCs w:val="36"/>
        </w:rPr>
      </w:pPr>
      <w:r w:rsidRPr="006E5363">
        <w:rPr>
          <w:rFonts w:ascii="標楷體" w:eastAsia="標楷體" w:hAnsi="標楷體" w:hint="eastAsia"/>
          <w:b/>
          <w:sz w:val="36"/>
          <w:szCs w:val="36"/>
        </w:rPr>
        <w:t>之參與人員性別統計分析</w:t>
      </w:r>
    </w:p>
    <w:p w:rsidR="00A54810" w:rsidRDefault="00A54810" w:rsidP="00A54810">
      <w:pPr>
        <w:pStyle w:val="a3"/>
        <w:snapToGrid w:val="0"/>
        <w:spacing w:line="460" w:lineRule="exact"/>
        <w:ind w:leftChars="0" w:left="720"/>
        <w:rPr>
          <w:rFonts w:ascii="標楷體" w:eastAsia="標楷體" w:hAnsi="標楷體"/>
          <w:sz w:val="28"/>
          <w:szCs w:val="28"/>
        </w:rPr>
      </w:pPr>
      <w:r>
        <w:rPr>
          <w:rFonts w:ascii="標楷體" w:eastAsia="標楷體" w:hAnsi="標楷體" w:hint="eastAsia"/>
          <w:sz w:val="28"/>
          <w:szCs w:val="28"/>
        </w:rPr>
        <w:t>本局102年至104年共舉辦20場工業區產業發展座談會或業務聯繫會報(</w:t>
      </w:r>
      <w:proofErr w:type="gramStart"/>
      <w:r>
        <w:rPr>
          <w:rFonts w:ascii="標楷體" w:eastAsia="標楷體" w:hAnsi="標楷體" w:hint="eastAsia"/>
          <w:sz w:val="28"/>
          <w:szCs w:val="28"/>
        </w:rPr>
        <w:t>詳表</w:t>
      </w:r>
      <w:proofErr w:type="gramEnd"/>
      <w:r>
        <w:rPr>
          <w:rFonts w:ascii="標楷體" w:eastAsia="標楷體" w:hAnsi="標楷體" w:hint="eastAsia"/>
          <w:sz w:val="28"/>
          <w:szCs w:val="28"/>
        </w:rPr>
        <w:t>7)，並協助發送托育、福利措施等宣導DM，供廠商帶回作政策宣導，總參與人次為1,186人，男性為905人(76.31%)，女性為281人(23.69%)。(資料來源：本局產業發展科各場次簽到表)</w:t>
      </w:r>
    </w:p>
    <w:p w:rsidR="00A54810" w:rsidRDefault="00A54810" w:rsidP="00A54810">
      <w:pPr>
        <w:pStyle w:val="a3"/>
        <w:spacing w:line="460" w:lineRule="exact"/>
        <w:ind w:leftChars="0" w:left="720"/>
        <w:rPr>
          <w:rFonts w:ascii="標楷體" w:eastAsia="標楷體" w:hAnsi="標楷體" w:hint="eastAsia"/>
          <w:szCs w:val="24"/>
        </w:rPr>
      </w:pPr>
    </w:p>
    <w:p w:rsidR="00A54810" w:rsidRDefault="00A54810" w:rsidP="00A54810">
      <w:pPr>
        <w:pStyle w:val="a3"/>
        <w:spacing w:line="460" w:lineRule="exact"/>
        <w:ind w:leftChars="0" w:left="720"/>
        <w:rPr>
          <w:rFonts w:ascii="標楷體" w:eastAsia="標楷體" w:hAnsi="標楷體"/>
          <w:szCs w:val="24"/>
        </w:rPr>
      </w:pPr>
      <w:r>
        <w:rPr>
          <w:rFonts w:ascii="標楷體" w:eastAsia="標楷體" w:hAnsi="標楷體" w:hint="eastAsia"/>
          <w:szCs w:val="24"/>
        </w:rPr>
        <w:t>表11：102年至104年各工業區產業發展座談會或業務聯繫會報參與人員性別統計表</w:t>
      </w:r>
    </w:p>
    <w:tbl>
      <w:tblPr>
        <w:tblStyle w:val="a4"/>
        <w:tblW w:w="8747" w:type="dxa"/>
        <w:jc w:val="center"/>
        <w:tblInd w:w="0" w:type="dxa"/>
        <w:tblLook w:val="04A0" w:firstRow="1" w:lastRow="0" w:firstColumn="1" w:lastColumn="0" w:noHBand="0" w:noVBand="1"/>
      </w:tblPr>
      <w:tblGrid>
        <w:gridCol w:w="1299"/>
        <w:gridCol w:w="2017"/>
        <w:gridCol w:w="1684"/>
        <w:gridCol w:w="1844"/>
        <w:gridCol w:w="916"/>
        <w:gridCol w:w="987"/>
      </w:tblGrid>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 w:val="28"/>
                <w:szCs w:val="28"/>
              </w:rPr>
            </w:pPr>
            <w:r>
              <w:rPr>
                <w:rFonts w:ascii="標楷體" w:eastAsia="標楷體" w:hAnsi="標楷體" w:hint="eastAsia"/>
                <w:b/>
                <w:sz w:val="28"/>
                <w:szCs w:val="28"/>
              </w:rPr>
              <w:t>時間</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 w:val="28"/>
                <w:szCs w:val="28"/>
              </w:rPr>
            </w:pPr>
            <w:r>
              <w:rPr>
                <w:rFonts w:ascii="標楷體" w:eastAsia="標楷體" w:hAnsi="標楷體" w:hint="eastAsia"/>
                <w:b/>
                <w:sz w:val="28"/>
                <w:szCs w:val="28"/>
              </w:rPr>
              <w:t>會議名稱</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 w:val="28"/>
                <w:szCs w:val="28"/>
              </w:rPr>
            </w:pPr>
            <w:r>
              <w:rPr>
                <w:rFonts w:ascii="標楷體" w:eastAsia="標楷體" w:hAnsi="標楷體" w:hint="eastAsia"/>
                <w:b/>
                <w:sz w:val="28"/>
                <w:szCs w:val="28"/>
              </w:rPr>
              <w:t>男(人 / %)</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 w:val="28"/>
                <w:szCs w:val="28"/>
              </w:rPr>
            </w:pPr>
            <w:r>
              <w:rPr>
                <w:rFonts w:ascii="標楷體" w:eastAsia="標楷體" w:hAnsi="標楷體" w:hint="eastAsia"/>
                <w:b/>
                <w:sz w:val="28"/>
                <w:szCs w:val="28"/>
              </w:rPr>
              <w:t>女(人 / %)</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 w:val="28"/>
                <w:szCs w:val="28"/>
              </w:rPr>
            </w:pPr>
            <w:r>
              <w:rPr>
                <w:rFonts w:ascii="標楷體" w:eastAsia="標楷體" w:hAnsi="標楷體" w:hint="eastAsia"/>
                <w:b/>
                <w:sz w:val="28"/>
                <w:szCs w:val="28"/>
              </w:rPr>
              <w:t>合計(人)</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 w:val="28"/>
                <w:szCs w:val="28"/>
              </w:rPr>
            </w:pPr>
            <w:r>
              <w:rPr>
                <w:rFonts w:ascii="標楷體" w:eastAsia="標楷體" w:hAnsi="標楷體" w:hint="eastAsia"/>
                <w:b/>
                <w:sz w:val="28"/>
                <w:szCs w:val="28"/>
              </w:rPr>
              <w:t>舉辦</w:t>
            </w:r>
          </w:p>
          <w:p w:rsidR="00A54810" w:rsidRDefault="00A54810">
            <w:pPr>
              <w:pStyle w:val="a3"/>
              <w:snapToGrid w:val="0"/>
              <w:spacing w:line="240" w:lineRule="atLeast"/>
              <w:ind w:leftChars="0" w:left="0"/>
              <w:jc w:val="center"/>
              <w:rPr>
                <w:rFonts w:ascii="標楷體" w:eastAsia="標楷體" w:hAnsi="標楷體"/>
                <w:b/>
                <w:sz w:val="28"/>
                <w:szCs w:val="28"/>
              </w:rPr>
            </w:pPr>
            <w:r>
              <w:rPr>
                <w:rFonts w:ascii="標楷體" w:eastAsia="標楷體" w:hAnsi="標楷體" w:hint="eastAsia"/>
                <w:b/>
                <w:sz w:val="28"/>
                <w:szCs w:val="28"/>
              </w:rPr>
              <w:t>地點</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102/4/15</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桃園縣蘆竹海湖坑口工業區產業發展座談會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31 / 63.27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18 / 36.73</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49</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海湖活動中心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102/5/13</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龜山工業區產業發展座談會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42 / 80.77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10 / 19.23</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52</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龜山工業區服務中心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 xml:space="preserve">102/6/24 </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林口工業區及華亞科技園區產業發展座談會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33 / 71.74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13 / 28.26</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46</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林口工業區服務中心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 xml:space="preserve">102/7/8 </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智慧運籌、服務化、科技化、國際化商機說明會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67 / 78.82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18 / 21.18</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85</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縣府公訓中心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102/8/8</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桃園科技工業園區及新屋永安工業區產業發展座談會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38 / 82.61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8 / 17.39</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46</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proofErr w:type="gramStart"/>
            <w:r>
              <w:rPr>
                <w:rFonts w:ascii="標楷體" w:eastAsia="標楷體" w:hAnsi="標楷體" w:hint="eastAsia"/>
                <w:szCs w:val="24"/>
              </w:rPr>
              <w:t>桃科環</w:t>
            </w:r>
            <w:proofErr w:type="gramEnd"/>
            <w:r>
              <w:rPr>
                <w:rFonts w:ascii="標楷體" w:eastAsia="標楷體" w:hAnsi="標楷體" w:hint="eastAsia"/>
                <w:szCs w:val="24"/>
              </w:rPr>
              <w:t>科大潭產業園區聯合服務中心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 xml:space="preserve">102/9/4 </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桃園縣與香港食品及物流業者商機媒合會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54 / 65.06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29 / 34.94</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83</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白木屋旗艦店</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 xml:space="preserve">102/10/3 </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平鎮市工業區及龍潭烏樹林工業區產業發展座談會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44 / 74.58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15 / 25.42</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59</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平鎮工業區服務中心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 xml:space="preserve">102/10/16 </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日資企業義務聯繫會議</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76 / 82.61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16 / 17.39</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92</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縣府公訓中心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lastRenderedPageBreak/>
              <w:t xml:space="preserve">102/11/13 </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上市上櫃企業聯誼會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83 / 83.84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16 / 16.16</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99</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縣府公訓中心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102/12/25</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大園工業區產業發展座談會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57 / 89.06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7 / 10.94</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64</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Cs w:val="24"/>
              </w:rPr>
            </w:pPr>
            <w:r>
              <w:rPr>
                <w:rFonts w:ascii="標楷體" w:eastAsia="標楷體" w:hAnsi="標楷體" w:hint="eastAsia"/>
                <w:szCs w:val="24"/>
              </w:rPr>
              <w:t>大園工業區服務中心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103/2/18</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中壢工業區產業發展座談會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50 / 76.92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15 / 23.08</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65</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經濟部工業局中壢工業區服務中心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103/4/16</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桃園幼獅及幼獅擴大工業區產業發展座談會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42 / 71.19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17 / 28.81</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59</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桃園幼獅工業區服務中心</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rPr>
                <w:rFonts w:ascii="標楷體" w:eastAsia="標楷體" w:hAnsi="標楷體"/>
                <w:b/>
                <w:szCs w:val="24"/>
              </w:rPr>
            </w:pPr>
            <w:r>
              <w:rPr>
                <w:rFonts w:ascii="標楷體" w:eastAsia="標楷體" w:hAnsi="標楷體" w:hint="eastAsia"/>
                <w:b/>
                <w:szCs w:val="24"/>
              </w:rPr>
              <w:t>103/9/23</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林口工三工業區、華亞科技園區及高科技工業城第四工業區產業發展座談會</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48 / 75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16 / 25</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64</w:t>
            </w:r>
          </w:p>
        </w:tc>
        <w:tc>
          <w:tcPr>
            <w:tcW w:w="98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林口工業區服務中心會議室</w:t>
            </w:r>
          </w:p>
        </w:tc>
      </w:tr>
      <w:tr w:rsidR="00A54810" w:rsidTr="00A54810">
        <w:trPr>
          <w:jc w:val="center"/>
        </w:trPr>
        <w:tc>
          <w:tcPr>
            <w:tcW w:w="1299" w:type="dxa"/>
            <w:tcBorders>
              <w:top w:val="nil"/>
              <w:left w:val="single" w:sz="4" w:space="0" w:color="auto"/>
              <w:bottom w:val="single" w:sz="4" w:space="0" w:color="auto"/>
              <w:right w:val="single" w:sz="4" w:space="0" w:color="auto"/>
            </w:tcBorders>
            <w:vAlign w:val="center"/>
            <w:hideMark/>
          </w:tcPr>
          <w:p w:rsidR="00A54810" w:rsidRDefault="00A54810">
            <w:pPr>
              <w:widowControl/>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104/05/25</w:t>
            </w:r>
          </w:p>
        </w:tc>
        <w:tc>
          <w:tcPr>
            <w:tcW w:w="201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工業區業務聯繫會報(5月月會)</w:t>
            </w:r>
          </w:p>
        </w:tc>
        <w:tc>
          <w:tcPr>
            <w:tcW w:w="1684"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25 / 73.53</w:t>
            </w:r>
          </w:p>
        </w:tc>
        <w:tc>
          <w:tcPr>
            <w:tcW w:w="1844"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9 / 26.47</w:t>
            </w:r>
          </w:p>
        </w:tc>
        <w:tc>
          <w:tcPr>
            <w:tcW w:w="916" w:type="dxa"/>
            <w:tcBorders>
              <w:top w:val="nil"/>
              <w:left w:val="nil"/>
              <w:bottom w:val="single" w:sz="4" w:space="0" w:color="auto"/>
              <w:right w:val="single" w:sz="4" w:space="0" w:color="auto"/>
            </w:tcBorders>
            <w:vAlign w:val="center"/>
            <w:hideMark/>
          </w:tcPr>
          <w:p w:rsidR="00A54810" w:rsidRDefault="00A5481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34</w:t>
            </w:r>
          </w:p>
        </w:tc>
        <w:tc>
          <w:tcPr>
            <w:tcW w:w="98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本府601會議室</w:t>
            </w:r>
          </w:p>
        </w:tc>
      </w:tr>
      <w:tr w:rsidR="00A54810" w:rsidTr="00A54810">
        <w:trPr>
          <w:jc w:val="center"/>
        </w:trPr>
        <w:tc>
          <w:tcPr>
            <w:tcW w:w="1299" w:type="dxa"/>
            <w:tcBorders>
              <w:top w:val="nil"/>
              <w:left w:val="single" w:sz="4" w:space="0" w:color="auto"/>
              <w:bottom w:val="single" w:sz="4" w:space="0" w:color="auto"/>
              <w:right w:val="single" w:sz="4" w:space="0" w:color="auto"/>
            </w:tcBorders>
            <w:vAlign w:val="center"/>
            <w:hideMark/>
          </w:tcPr>
          <w:p w:rsidR="00A54810" w:rsidRDefault="00A54810">
            <w:pPr>
              <w:widowControl/>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104/06/29</w:t>
            </w:r>
          </w:p>
        </w:tc>
        <w:tc>
          <w:tcPr>
            <w:tcW w:w="201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工業區業務聯繫會報(6月季會報)</w:t>
            </w:r>
          </w:p>
        </w:tc>
        <w:tc>
          <w:tcPr>
            <w:tcW w:w="1684"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 / 77.42</w:t>
            </w:r>
          </w:p>
        </w:tc>
        <w:tc>
          <w:tcPr>
            <w:tcW w:w="1844"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 / 22.58</w:t>
            </w:r>
          </w:p>
        </w:tc>
        <w:tc>
          <w:tcPr>
            <w:tcW w:w="916" w:type="dxa"/>
            <w:tcBorders>
              <w:top w:val="nil"/>
              <w:left w:val="nil"/>
              <w:bottom w:val="single" w:sz="4" w:space="0" w:color="auto"/>
              <w:right w:val="single" w:sz="4" w:space="0" w:color="auto"/>
            </w:tcBorders>
            <w:vAlign w:val="center"/>
            <w:hideMark/>
          </w:tcPr>
          <w:p w:rsidR="00A54810" w:rsidRDefault="00A5481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31</w:t>
            </w:r>
          </w:p>
        </w:tc>
        <w:tc>
          <w:tcPr>
            <w:tcW w:w="98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本府601會議室</w:t>
            </w:r>
          </w:p>
        </w:tc>
      </w:tr>
      <w:tr w:rsidR="00A54810" w:rsidTr="00A54810">
        <w:trPr>
          <w:jc w:val="center"/>
        </w:trPr>
        <w:tc>
          <w:tcPr>
            <w:tcW w:w="1299" w:type="dxa"/>
            <w:tcBorders>
              <w:top w:val="nil"/>
              <w:left w:val="single" w:sz="4" w:space="0" w:color="auto"/>
              <w:bottom w:val="single" w:sz="4" w:space="0" w:color="auto"/>
              <w:right w:val="single" w:sz="4" w:space="0" w:color="auto"/>
            </w:tcBorders>
            <w:vAlign w:val="center"/>
            <w:hideMark/>
          </w:tcPr>
          <w:p w:rsidR="00A54810" w:rsidRDefault="00A54810">
            <w:pPr>
              <w:widowControl/>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104/07/28</w:t>
            </w:r>
          </w:p>
        </w:tc>
        <w:tc>
          <w:tcPr>
            <w:tcW w:w="201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工業區業務聯繫會報(7月月會)</w:t>
            </w:r>
          </w:p>
        </w:tc>
        <w:tc>
          <w:tcPr>
            <w:tcW w:w="1684"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39 / 84.78</w:t>
            </w:r>
          </w:p>
        </w:tc>
        <w:tc>
          <w:tcPr>
            <w:tcW w:w="1844"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 / 15.22</w:t>
            </w:r>
          </w:p>
        </w:tc>
        <w:tc>
          <w:tcPr>
            <w:tcW w:w="916" w:type="dxa"/>
            <w:tcBorders>
              <w:top w:val="nil"/>
              <w:left w:val="nil"/>
              <w:bottom w:val="single" w:sz="4" w:space="0" w:color="auto"/>
              <w:right w:val="single" w:sz="4" w:space="0" w:color="auto"/>
            </w:tcBorders>
            <w:vAlign w:val="center"/>
            <w:hideMark/>
          </w:tcPr>
          <w:p w:rsidR="00A54810" w:rsidRDefault="00A5481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46</w:t>
            </w:r>
          </w:p>
        </w:tc>
        <w:tc>
          <w:tcPr>
            <w:tcW w:w="98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本府601會議室</w:t>
            </w:r>
          </w:p>
        </w:tc>
      </w:tr>
      <w:tr w:rsidR="00A54810" w:rsidTr="00A54810">
        <w:trPr>
          <w:jc w:val="center"/>
        </w:trPr>
        <w:tc>
          <w:tcPr>
            <w:tcW w:w="1299" w:type="dxa"/>
            <w:tcBorders>
              <w:top w:val="nil"/>
              <w:left w:val="single" w:sz="4" w:space="0" w:color="auto"/>
              <w:bottom w:val="single" w:sz="4" w:space="0" w:color="auto"/>
              <w:right w:val="single" w:sz="4" w:space="0" w:color="auto"/>
            </w:tcBorders>
            <w:vAlign w:val="center"/>
            <w:hideMark/>
          </w:tcPr>
          <w:p w:rsidR="00A54810" w:rsidRDefault="00A54810">
            <w:pPr>
              <w:widowControl/>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104/08/26</w:t>
            </w:r>
          </w:p>
        </w:tc>
        <w:tc>
          <w:tcPr>
            <w:tcW w:w="201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工業區業務聯繫會報(8月月會)</w:t>
            </w:r>
          </w:p>
        </w:tc>
        <w:tc>
          <w:tcPr>
            <w:tcW w:w="1684" w:type="dxa"/>
            <w:tcBorders>
              <w:top w:val="nil"/>
              <w:left w:val="nil"/>
              <w:bottom w:val="nil"/>
              <w:right w:val="nil"/>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35 / 64.81</w:t>
            </w:r>
          </w:p>
        </w:tc>
        <w:tc>
          <w:tcPr>
            <w:tcW w:w="1844" w:type="dxa"/>
            <w:tcBorders>
              <w:top w:val="nil"/>
              <w:left w:val="single" w:sz="4" w:space="0" w:color="auto"/>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19 / 35.19</w:t>
            </w:r>
          </w:p>
        </w:tc>
        <w:tc>
          <w:tcPr>
            <w:tcW w:w="916" w:type="dxa"/>
            <w:tcBorders>
              <w:top w:val="nil"/>
              <w:left w:val="nil"/>
              <w:bottom w:val="single" w:sz="4" w:space="0" w:color="auto"/>
              <w:right w:val="single" w:sz="4" w:space="0" w:color="auto"/>
            </w:tcBorders>
            <w:vAlign w:val="center"/>
            <w:hideMark/>
          </w:tcPr>
          <w:p w:rsidR="00A54810" w:rsidRDefault="00A5481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54</w:t>
            </w:r>
          </w:p>
        </w:tc>
        <w:tc>
          <w:tcPr>
            <w:tcW w:w="98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本府601會議室</w:t>
            </w:r>
          </w:p>
        </w:tc>
      </w:tr>
      <w:tr w:rsidR="00A54810" w:rsidTr="00A54810">
        <w:trPr>
          <w:jc w:val="center"/>
        </w:trPr>
        <w:tc>
          <w:tcPr>
            <w:tcW w:w="1299" w:type="dxa"/>
            <w:tcBorders>
              <w:top w:val="nil"/>
              <w:left w:val="single" w:sz="4" w:space="0" w:color="auto"/>
              <w:bottom w:val="single" w:sz="4" w:space="0" w:color="auto"/>
              <w:right w:val="single" w:sz="4" w:space="0" w:color="auto"/>
            </w:tcBorders>
            <w:vAlign w:val="center"/>
            <w:hideMark/>
          </w:tcPr>
          <w:p w:rsidR="00A54810" w:rsidRDefault="00A54810">
            <w:pPr>
              <w:widowControl/>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104/09/21</w:t>
            </w:r>
          </w:p>
        </w:tc>
        <w:tc>
          <w:tcPr>
            <w:tcW w:w="201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工業區業務聯繫會報(9月季會報)</w:t>
            </w:r>
          </w:p>
        </w:tc>
        <w:tc>
          <w:tcPr>
            <w:tcW w:w="1684" w:type="dxa"/>
            <w:tcBorders>
              <w:top w:val="single" w:sz="4" w:space="0" w:color="auto"/>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42 / 80.77</w:t>
            </w:r>
          </w:p>
        </w:tc>
        <w:tc>
          <w:tcPr>
            <w:tcW w:w="1844"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 / 19.23</w:t>
            </w:r>
          </w:p>
        </w:tc>
        <w:tc>
          <w:tcPr>
            <w:tcW w:w="916" w:type="dxa"/>
            <w:tcBorders>
              <w:top w:val="nil"/>
              <w:left w:val="nil"/>
              <w:bottom w:val="single" w:sz="4" w:space="0" w:color="auto"/>
              <w:right w:val="single" w:sz="4" w:space="0" w:color="auto"/>
            </w:tcBorders>
            <w:vAlign w:val="center"/>
            <w:hideMark/>
          </w:tcPr>
          <w:p w:rsidR="00A54810" w:rsidRDefault="00A5481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52</w:t>
            </w:r>
          </w:p>
        </w:tc>
        <w:tc>
          <w:tcPr>
            <w:tcW w:w="987" w:type="dxa"/>
            <w:tcBorders>
              <w:top w:val="nil"/>
              <w:left w:val="nil"/>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本府601會議室</w:t>
            </w:r>
          </w:p>
        </w:tc>
      </w:tr>
      <w:tr w:rsidR="00A54810" w:rsidTr="00A54810">
        <w:trPr>
          <w:jc w:val="center"/>
        </w:trPr>
        <w:tc>
          <w:tcPr>
            <w:tcW w:w="1299" w:type="dxa"/>
            <w:tcBorders>
              <w:top w:val="nil"/>
              <w:left w:val="single" w:sz="4" w:space="0" w:color="auto"/>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104/11/25</w:t>
            </w:r>
          </w:p>
        </w:tc>
        <w:tc>
          <w:tcPr>
            <w:tcW w:w="2017" w:type="dxa"/>
            <w:tcBorders>
              <w:top w:val="nil"/>
              <w:left w:val="nil"/>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工業區業務聯繫會報(11月月會)</w:t>
            </w:r>
          </w:p>
        </w:tc>
        <w:tc>
          <w:tcPr>
            <w:tcW w:w="1684" w:type="dxa"/>
            <w:tcBorders>
              <w:top w:val="single" w:sz="4" w:space="0" w:color="auto"/>
              <w:left w:val="nil"/>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31 / 63.27</w:t>
            </w:r>
          </w:p>
        </w:tc>
        <w:tc>
          <w:tcPr>
            <w:tcW w:w="1844" w:type="dxa"/>
            <w:tcBorders>
              <w:top w:val="nil"/>
              <w:left w:val="nil"/>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18 / 36.73</w:t>
            </w:r>
          </w:p>
        </w:tc>
        <w:tc>
          <w:tcPr>
            <w:tcW w:w="916" w:type="dxa"/>
            <w:tcBorders>
              <w:top w:val="nil"/>
              <w:left w:val="nil"/>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49</w:t>
            </w:r>
          </w:p>
        </w:tc>
        <w:tc>
          <w:tcPr>
            <w:tcW w:w="987" w:type="dxa"/>
            <w:tcBorders>
              <w:top w:val="nil"/>
              <w:left w:val="nil"/>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本府601會議室</w:t>
            </w:r>
          </w:p>
        </w:tc>
      </w:tr>
      <w:tr w:rsidR="00A54810" w:rsidTr="00A54810">
        <w:trPr>
          <w:jc w:val="center"/>
        </w:trPr>
        <w:tc>
          <w:tcPr>
            <w:tcW w:w="1299" w:type="dxa"/>
            <w:tcBorders>
              <w:top w:val="nil"/>
              <w:left w:val="single" w:sz="4" w:space="0" w:color="auto"/>
              <w:bottom w:val="single" w:sz="4" w:space="0" w:color="auto"/>
              <w:right w:val="single" w:sz="4" w:space="0" w:color="auto"/>
            </w:tcBorders>
            <w:vAlign w:val="center"/>
            <w:hideMark/>
          </w:tcPr>
          <w:p w:rsidR="00A54810" w:rsidRDefault="00A54810">
            <w:pPr>
              <w:widowControl/>
              <w:snapToGrid w:val="0"/>
              <w:spacing w:line="240" w:lineRule="atLeast"/>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104/12/28</w:t>
            </w:r>
          </w:p>
        </w:tc>
        <w:tc>
          <w:tcPr>
            <w:tcW w:w="2017" w:type="dxa"/>
            <w:tcBorders>
              <w:top w:val="nil"/>
              <w:left w:val="nil"/>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工業區業務聯繫會報(12月季會報)</w:t>
            </w:r>
          </w:p>
        </w:tc>
        <w:tc>
          <w:tcPr>
            <w:tcW w:w="1684" w:type="dxa"/>
            <w:tcBorders>
              <w:top w:val="single" w:sz="4" w:space="0" w:color="auto"/>
              <w:left w:val="nil"/>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44 / 77.19</w:t>
            </w:r>
          </w:p>
        </w:tc>
        <w:tc>
          <w:tcPr>
            <w:tcW w:w="1844" w:type="dxa"/>
            <w:tcBorders>
              <w:top w:val="nil"/>
              <w:left w:val="nil"/>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13 / 22.81</w:t>
            </w:r>
          </w:p>
        </w:tc>
        <w:tc>
          <w:tcPr>
            <w:tcW w:w="916" w:type="dxa"/>
            <w:tcBorders>
              <w:top w:val="nil"/>
              <w:left w:val="nil"/>
              <w:bottom w:val="single" w:sz="4" w:space="0" w:color="auto"/>
              <w:right w:val="single" w:sz="4" w:space="0" w:color="auto"/>
            </w:tcBorders>
            <w:vAlign w:val="center"/>
            <w:hideMark/>
          </w:tcPr>
          <w:p w:rsidR="00A54810" w:rsidRDefault="00A54810">
            <w:pPr>
              <w:snapToGrid w:val="0"/>
              <w:spacing w:line="240" w:lineRule="atLeast"/>
              <w:jc w:val="center"/>
              <w:rPr>
                <w:rFonts w:ascii="標楷體" w:eastAsia="標楷體" w:hAnsi="標楷體" w:cs="新細明體"/>
                <w:color w:val="000000"/>
                <w:szCs w:val="24"/>
              </w:rPr>
            </w:pPr>
            <w:r>
              <w:rPr>
                <w:rFonts w:ascii="標楷體" w:eastAsia="標楷體" w:hAnsi="標楷體" w:hint="eastAsia"/>
                <w:color w:val="000000"/>
                <w:szCs w:val="24"/>
              </w:rPr>
              <w:t>57</w:t>
            </w:r>
          </w:p>
        </w:tc>
        <w:tc>
          <w:tcPr>
            <w:tcW w:w="987" w:type="dxa"/>
            <w:tcBorders>
              <w:top w:val="nil"/>
              <w:left w:val="nil"/>
              <w:bottom w:val="single" w:sz="4" w:space="0" w:color="auto"/>
              <w:right w:val="single" w:sz="4" w:space="0" w:color="auto"/>
            </w:tcBorders>
            <w:vAlign w:val="center"/>
            <w:hideMark/>
          </w:tcPr>
          <w:p w:rsidR="00A54810" w:rsidRDefault="00A54810">
            <w:pPr>
              <w:snapToGrid w:val="0"/>
              <w:spacing w:line="240" w:lineRule="atLeast"/>
              <w:rPr>
                <w:rFonts w:ascii="標楷體" w:eastAsia="標楷體" w:hAnsi="標楷體" w:cs="新細明體"/>
                <w:color w:val="000000"/>
                <w:szCs w:val="24"/>
              </w:rPr>
            </w:pPr>
            <w:r>
              <w:rPr>
                <w:rFonts w:ascii="標楷體" w:eastAsia="標楷體" w:hAnsi="標楷體" w:hint="eastAsia"/>
                <w:color w:val="000000"/>
                <w:szCs w:val="24"/>
              </w:rPr>
              <w:t>本府601會議室</w:t>
            </w:r>
          </w:p>
        </w:tc>
      </w:tr>
      <w:tr w:rsidR="00A54810" w:rsidTr="00A54810">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b/>
                <w:sz w:val="28"/>
                <w:szCs w:val="28"/>
              </w:rPr>
            </w:pPr>
            <w:r>
              <w:rPr>
                <w:rFonts w:ascii="標楷體" w:eastAsia="標楷體" w:hAnsi="標楷體" w:hint="eastAsia"/>
                <w:b/>
                <w:sz w:val="28"/>
                <w:szCs w:val="28"/>
              </w:rPr>
              <w:t>總計</w:t>
            </w:r>
          </w:p>
        </w:tc>
        <w:tc>
          <w:tcPr>
            <w:tcW w:w="2017"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both"/>
              <w:rPr>
                <w:rFonts w:ascii="標楷體" w:eastAsia="標楷體" w:hAnsi="標楷體"/>
                <w:sz w:val="28"/>
                <w:szCs w:val="28"/>
              </w:rPr>
            </w:pPr>
            <w:r>
              <w:rPr>
                <w:rFonts w:ascii="標楷體" w:eastAsia="標楷體" w:hAnsi="標楷體" w:hint="eastAsia"/>
                <w:sz w:val="28"/>
                <w:szCs w:val="28"/>
              </w:rPr>
              <w:t>20場</w:t>
            </w:r>
          </w:p>
        </w:tc>
        <w:tc>
          <w:tcPr>
            <w:tcW w:w="168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 w:val="28"/>
                <w:szCs w:val="28"/>
              </w:rPr>
            </w:pPr>
            <w:r>
              <w:rPr>
                <w:rFonts w:ascii="標楷體" w:eastAsia="標楷體" w:hAnsi="標楷體" w:hint="eastAsia"/>
                <w:sz w:val="28"/>
                <w:szCs w:val="28"/>
              </w:rPr>
              <w:t>905 / 76.31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 w:val="28"/>
                <w:szCs w:val="28"/>
              </w:rPr>
            </w:pPr>
            <w:r>
              <w:rPr>
                <w:rFonts w:ascii="標楷體" w:eastAsia="標楷體" w:hAnsi="標楷體" w:hint="eastAsia"/>
                <w:sz w:val="28"/>
                <w:szCs w:val="28"/>
              </w:rPr>
              <w:t>281 / 23.69</w:t>
            </w:r>
          </w:p>
        </w:tc>
        <w:tc>
          <w:tcPr>
            <w:tcW w:w="916"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 w:val="28"/>
                <w:szCs w:val="28"/>
              </w:rPr>
            </w:pPr>
            <w:r>
              <w:rPr>
                <w:rFonts w:ascii="標楷體" w:eastAsia="標楷體" w:hAnsi="標楷體" w:hint="eastAsia"/>
                <w:sz w:val="28"/>
                <w:szCs w:val="28"/>
              </w:rPr>
              <w:t>1,186</w:t>
            </w:r>
          </w:p>
        </w:tc>
        <w:tc>
          <w:tcPr>
            <w:tcW w:w="987" w:type="dxa"/>
            <w:tcBorders>
              <w:top w:val="single" w:sz="4" w:space="0" w:color="auto"/>
              <w:left w:val="single" w:sz="4" w:space="0" w:color="auto"/>
              <w:bottom w:val="single" w:sz="4" w:space="0" w:color="auto"/>
              <w:right w:val="single" w:sz="4" w:space="0" w:color="auto"/>
            </w:tcBorders>
            <w:vAlign w:val="center"/>
          </w:tcPr>
          <w:p w:rsidR="00A54810" w:rsidRDefault="00A54810">
            <w:pPr>
              <w:pStyle w:val="a3"/>
              <w:snapToGrid w:val="0"/>
              <w:spacing w:line="240" w:lineRule="atLeast"/>
              <w:ind w:leftChars="0" w:left="0"/>
              <w:jc w:val="both"/>
              <w:rPr>
                <w:rFonts w:ascii="標楷體" w:eastAsia="標楷體" w:hAnsi="標楷體"/>
                <w:sz w:val="28"/>
                <w:szCs w:val="28"/>
              </w:rPr>
            </w:pPr>
          </w:p>
        </w:tc>
      </w:tr>
    </w:tbl>
    <w:p w:rsidR="00A54810" w:rsidRDefault="00A54810" w:rsidP="00A54810">
      <w:pPr>
        <w:pStyle w:val="a3"/>
        <w:spacing w:line="460" w:lineRule="exact"/>
        <w:ind w:leftChars="0" w:left="720"/>
        <w:rPr>
          <w:rFonts w:ascii="標楷體" w:eastAsia="標楷體" w:hAnsi="標楷體"/>
          <w:szCs w:val="24"/>
        </w:rPr>
      </w:pPr>
    </w:p>
    <w:p w:rsidR="00A54810" w:rsidRDefault="00A54810" w:rsidP="00A54810">
      <w:pPr>
        <w:pStyle w:val="a3"/>
        <w:spacing w:line="460" w:lineRule="exact"/>
        <w:ind w:leftChars="0" w:left="720"/>
        <w:rPr>
          <w:rFonts w:ascii="標楷體" w:eastAsia="標楷體" w:hAnsi="標楷體"/>
          <w:szCs w:val="24"/>
        </w:rPr>
      </w:pPr>
    </w:p>
    <w:p w:rsidR="00A54810" w:rsidRDefault="00A54810" w:rsidP="00A54810">
      <w:pPr>
        <w:pStyle w:val="a3"/>
        <w:spacing w:line="460" w:lineRule="exact"/>
        <w:ind w:leftChars="0" w:left="720"/>
        <w:rPr>
          <w:rFonts w:ascii="標楷體" w:eastAsia="標楷體" w:hAnsi="標楷體"/>
          <w:szCs w:val="24"/>
        </w:rPr>
      </w:pPr>
      <w:r>
        <w:rPr>
          <w:rFonts w:ascii="標楷體" w:eastAsia="標楷體" w:hAnsi="標楷體" w:hint="eastAsia"/>
          <w:szCs w:val="24"/>
        </w:rPr>
        <w:t>圖11：102年至104年各工業區產業發展座談會或業務聯繫會報參與人員性別統計長條圖</w:t>
      </w:r>
    </w:p>
    <w:p w:rsidR="00A54810" w:rsidRDefault="00A54810" w:rsidP="00A54810">
      <w:pPr>
        <w:pStyle w:val="a3"/>
        <w:spacing w:line="460" w:lineRule="exact"/>
        <w:ind w:leftChars="0" w:left="720"/>
        <w:rPr>
          <w:rFonts w:ascii="標楷體" w:eastAsia="標楷體" w:hAnsi="標楷體"/>
          <w:szCs w:val="24"/>
        </w:rPr>
      </w:pPr>
      <w:r>
        <w:rPr>
          <w:rFonts w:hint="eastAsia"/>
          <w:noProof/>
        </w:rPr>
        <w:drawing>
          <wp:anchor distT="0" distB="0" distL="114300" distR="114300" simplePos="0" relativeHeight="251657216" behindDoc="1" locked="0" layoutInCell="1" allowOverlap="1">
            <wp:simplePos x="0" y="0"/>
            <wp:positionH relativeFrom="column">
              <wp:posOffset>149860</wp:posOffset>
            </wp:positionH>
            <wp:positionV relativeFrom="paragraph">
              <wp:posOffset>122555</wp:posOffset>
            </wp:positionV>
            <wp:extent cx="5285105" cy="3090545"/>
            <wp:effectExtent l="0" t="0" r="10795" b="14605"/>
            <wp:wrapTight wrapText="bothSides">
              <wp:wrapPolygon edited="0">
                <wp:start x="0" y="0"/>
                <wp:lineTo x="0" y="21569"/>
                <wp:lineTo x="21566" y="21569"/>
                <wp:lineTo x="21566" y="0"/>
                <wp:lineTo x="0" y="0"/>
              </wp:wrapPolygon>
            </wp:wrapTight>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A54810" w:rsidRDefault="00A54810" w:rsidP="00A54810">
      <w:pPr>
        <w:pStyle w:val="a3"/>
        <w:snapToGrid w:val="0"/>
        <w:spacing w:line="240" w:lineRule="atLeast"/>
        <w:ind w:leftChars="0" w:left="720"/>
        <w:rPr>
          <w:rFonts w:ascii="標楷體" w:eastAsia="標楷體" w:hAnsi="標楷體"/>
          <w:szCs w:val="24"/>
        </w:rPr>
      </w:pPr>
      <w:r>
        <w:rPr>
          <w:rFonts w:ascii="標楷體" w:eastAsia="標楷體" w:hAnsi="標楷體" w:hint="eastAsia"/>
          <w:szCs w:val="24"/>
        </w:rPr>
        <w:t>表12：102年至104年產業發展座談會或業務聯繫會報總參與人員性別統計表</w:t>
      </w:r>
    </w:p>
    <w:tbl>
      <w:tblPr>
        <w:tblStyle w:val="a4"/>
        <w:tblW w:w="0" w:type="auto"/>
        <w:jc w:val="center"/>
        <w:tblInd w:w="0" w:type="dxa"/>
        <w:tblLook w:val="04A0" w:firstRow="1" w:lastRow="0" w:firstColumn="1" w:lastColumn="0" w:noHBand="0" w:noVBand="1"/>
      </w:tblPr>
      <w:tblGrid>
        <w:gridCol w:w="1231"/>
        <w:gridCol w:w="1559"/>
        <w:gridCol w:w="1560"/>
        <w:gridCol w:w="1275"/>
      </w:tblGrid>
      <w:tr w:rsidR="00A54810" w:rsidTr="00A54810">
        <w:trPr>
          <w:jc w:val="center"/>
        </w:trPr>
        <w:tc>
          <w:tcPr>
            <w:tcW w:w="1231"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Cs w:val="24"/>
              </w:rPr>
            </w:pPr>
            <w:r>
              <w:rPr>
                <w:rFonts w:ascii="標楷體" w:eastAsia="標楷體" w:hAnsi="標楷體" w:hint="eastAsia"/>
                <w:b/>
                <w:szCs w:val="24"/>
              </w:rPr>
              <w:t>統計時間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Cs w:val="24"/>
              </w:rPr>
            </w:pPr>
            <w:r>
              <w:rPr>
                <w:rFonts w:ascii="標楷體" w:eastAsia="標楷體" w:hAnsi="標楷體" w:hint="eastAsia"/>
                <w:b/>
                <w:szCs w:val="24"/>
              </w:rPr>
              <w:t>男(人 /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Cs w:val="24"/>
              </w:rPr>
            </w:pPr>
            <w:r>
              <w:rPr>
                <w:rFonts w:ascii="標楷體" w:eastAsia="標楷體" w:hAnsi="標楷體" w:hint="eastAsia"/>
                <w:b/>
                <w:szCs w:val="24"/>
              </w:rPr>
              <w:t>女(人 /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Cs w:val="24"/>
              </w:rPr>
            </w:pPr>
            <w:r>
              <w:rPr>
                <w:rFonts w:ascii="標楷體" w:eastAsia="標楷體" w:hAnsi="標楷體" w:hint="eastAsia"/>
                <w:b/>
                <w:szCs w:val="24"/>
              </w:rPr>
              <w:t>合計(人)</w:t>
            </w:r>
          </w:p>
        </w:tc>
      </w:tr>
      <w:tr w:rsidR="00A54810" w:rsidTr="00A54810">
        <w:trPr>
          <w:jc w:val="center"/>
        </w:trPr>
        <w:tc>
          <w:tcPr>
            <w:tcW w:w="1231"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Cs w:val="24"/>
              </w:rPr>
            </w:pPr>
            <w:r>
              <w:rPr>
                <w:rFonts w:ascii="標楷體" w:eastAsia="標楷體" w:hAnsi="標楷體" w:hint="eastAsia"/>
                <w:b/>
                <w:szCs w:val="24"/>
              </w:rPr>
              <w:t>102年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525 / 77.78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150 / 22.22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675</w:t>
            </w:r>
          </w:p>
        </w:tc>
      </w:tr>
      <w:tr w:rsidR="00A54810" w:rsidTr="00A54810">
        <w:trPr>
          <w:jc w:val="center"/>
        </w:trPr>
        <w:tc>
          <w:tcPr>
            <w:tcW w:w="1231"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Cs w:val="24"/>
              </w:rPr>
            </w:pPr>
            <w:r>
              <w:rPr>
                <w:rFonts w:ascii="標楷體" w:eastAsia="標楷體" w:hAnsi="標楷體" w:hint="eastAsia"/>
                <w:b/>
                <w:szCs w:val="24"/>
              </w:rPr>
              <w:t>103年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140 / 74.47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48 / 25.53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188</w:t>
            </w:r>
          </w:p>
        </w:tc>
      </w:tr>
      <w:tr w:rsidR="00A54810" w:rsidTr="00A54810">
        <w:trPr>
          <w:jc w:val="center"/>
        </w:trPr>
        <w:tc>
          <w:tcPr>
            <w:tcW w:w="1231"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b/>
                <w:szCs w:val="24"/>
              </w:rPr>
            </w:pPr>
            <w:r>
              <w:rPr>
                <w:rFonts w:ascii="標楷體" w:eastAsia="標楷體" w:hAnsi="標楷體" w:hint="eastAsia"/>
                <w:b/>
                <w:szCs w:val="24"/>
              </w:rPr>
              <w:t>104年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240 / 73.3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83 / 26.7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4810" w:rsidRDefault="00A54810">
            <w:pPr>
              <w:pStyle w:val="a3"/>
              <w:snapToGrid w:val="0"/>
              <w:spacing w:line="240" w:lineRule="atLeast"/>
              <w:ind w:leftChars="0" w:left="0"/>
              <w:jc w:val="center"/>
              <w:rPr>
                <w:rFonts w:ascii="標楷體" w:eastAsia="標楷體" w:hAnsi="標楷體"/>
                <w:szCs w:val="24"/>
              </w:rPr>
            </w:pPr>
            <w:r>
              <w:rPr>
                <w:rFonts w:ascii="標楷體" w:eastAsia="標楷體" w:hAnsi="標楷體" w:hint="eastAsia"/>
                <w:szCs w:val="24"/>
              </w:rPr>
              <w:t>323</w:t>
            </w:r>
          </w:p>
        </w:tc>
      </w:tr>
    </w:tbl>
    <w:p w:rsidR="00A54810" w:rsidRDefault="00A54810" w:rsidP="00A54810">
      <w:pPr>
        <w:pStyle w:val="a3"/>
        <w:snapToGrid w:val="0"/>
        <w:spacing w:line="240" w:lineRule="atLeast"/>
        <w:ind w:leftChars="0" w:left="720"/>
        <w:rPr>
          <w:rFonts w:ascii="標楷體" w:eastAsia="標楷體" w:hAnsi="標楷體"/>
          <w:szCs w:val="24"/>
        </w:rPr>
      </w:pPr>
    </w:p>
    <w:p w:rsidR="00A54810" w:rsidRDefault="00A54810" w:rsidP="00A54810">
      <w:pPr>
        <w:pStyle w:val="a3"/>
        <w:snapToGrid w:val="0"/>
        <w:spacing w:line="240" w:lineRule="atLeast"/>
        <w:ind w:leftChars="0" w:left="720"/>
        <w:rPr>
          <w:rFonts w:ascii="標楷體" w:eastAsia="標楷體" w:hAnsi="標楷體"/>
          <w:szCs w:val="24"/>
        </w:rPr>
      </w:pPr>
      <w:r>
        <w:rPr>
          <w:rFonts w:ascii="標楷體" w:eastAsia="標楷體" w:hAnsi="標楷體" w:hint="eastAsia"/>
          <w:szCs w:val="24"/>
        </w:rPr>
        <w:t>圖12：102年至104年產業發展座談會或業務聯繫會報總參與人員性別統計長條圖</w:t>
      </w:r>
    </w:p>
    <w:p w:rsidR="00A54810" w:rsidRDefault="00A54810" w:rsidP="00A54810">
      <w:pPr>
        <w:pStyle w:val="a3"/>
        <w:snapToGrid w:val="0"/>
        <w:spacing w:line="240" w:lineRule="atLeast"/>
        <w:ind w:leftChars="0" w:left="720"/>
        <w:rPr>
          <w:rFonts w:ascii="標楷體" w:eastAsia="標楷體" w:hAnsi="標楷體"/>
          <w:szCs w:val="24"/>
        </w:rPr>
      </w:pPr>
      <w:r>
        <w:rPr>
          <w:rFonts w:hint="eastAsia"/>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149225</wp:posOffset>
            </wp:positionV>
            <wp:extent cx="4239260" cy="1395730"/>
            <wp:effectExtent l="0" t="0" r="8890" b="0"/>
            <wp:wrapTight wrapText="bothSides">
              <wp:wrapPolygon edited="0">
                <wp:start x="0" y="0"/>
                <wp:lineTo x="0" y="21227"/>
                <wp:lineTo x="21548" y="21227"/>
                <wp:lineTo x="2154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9260" cy="1395730"/>
                    </a:xfrm>
                    <a:prstGeom prst="rect">
                      <a:avLst/>
                    </a:prstGeom>
                    <a:noFill/>
                  </pic:spPr>
                </pic:pic>
              </a:graphicData>
            </a:graphic>
            <wp14:sizeRelH relativeFrom="page">
              <wp14:pctWidth>0</wp14:pctWidth>
            </wp14:sizeRelH>
            <wp14:sizeRelV relativeFrom="page">
              <wp14:pctHeight>0</wp14:pctHeight>
            </wp14:sizeRelV>
          </wp:anchor>
        </w:drawing>
      </w:r>
    </w:p>
    <w:p w:rsidR="00A54810" w:rsidRDefault="00A54810" w:rsidP="00A54810">
      <w:pPr>
        <w:pStyle w:val="a3"/>
        <w:snapToGrid w:val="0"/>
        <w:spacing w:line="240" w:lineRule="atLeast"/>
        <w:ind w:leftChars="0" w:left="720"/>
        <w:rPr>
          <w:rFonts w:ascii="標楷體" w:eastAsia="標楷體" w:hAnsi="標楷體"/>
          <w:szCs w:val="24"/>
        </w:rPr>
      </w:pPr>
    </w:p>
    <w:p w:rsidR="00A54810" w:rsidRDefault="00A54810" w:rsidP="00A54810">
      <w:pPr>
        <w:pStyle w:val="a3"/>
        <w:snapToGrid w:val="0"/>
        <w:spacing w:line="240" w:lineRule="atLeast"/>
        <w:ind w:leftChars="0" w:left="720"/>
        <w:rPr>
          <w:rFonts w:ascii="標楷體" w:eastAsia="標楷體" w:hAnsi="標楷體"/>
          <w:szCs w:val="24"/>
        </w:rPr>
      </w:pPr>
    </w:p>
    <w:p w:rsidR="00A54810" w:rsidRDefault="00A54810" w:rsidP="00A54810">
      <w:pPr>
        <w:pStyle w:val="a3"/>
        <w:spacing w:line="460" w:lineRule="exact"/>
        <w:ind w:leftChars="0" w:left="720"/>
        <w:rPr>
          <w:rFonts w:ascii="標楷體" w:eastAsia="標楷體" w:hAnsi="標楷體"/>
          <w:sz w:val="28"/>
          <w:szCs w:val="28"/>
        </w:rPr>
      </w:pPr>
    </w:p>
    <w:p w:rsidR="00A54810" w:rsidRDefault="00A54810" w:rsidP="00A54810">
      <w:pPr>
        <w:pStyle w:val="a3"/>
        <w:spacing w:line="460" w:lineRule="exact"/>
        <w:ind w:leftChars="0" w:left="720"/>
        <w:rPr>
          <w:rFonts w:ascii="標楷體" w:eastAsia="標楷體" w:hAnsi="標楷體"/>
          <w:b/>
          <w:sz w:val="28"/>
          <w:szCs w:val="28"/>
        </w:rPr>
      </w:pPr>
    </w:p>
    <w:p w:rsidR="00A54810" w:rsidRDefault="00A54810" w:rsidP="00A54810">
      <w:pPr>
        <w:pStyle w:val="a3"/>
        <w:spacing w:line="460" w:lineRule="exact"/>
        <w:ind w:leftChars="0" w:left="720"/>
        <w:rPr>
          <w:rFonts w:ascii="標楷體" w:eastAsia="標楷體" w:hAnsi="標楷體"/>
          <w:b/>
          <w:sz w:val="28"/>
          <w:szCs w:val="28"/>
        </w:rPr>
      </w:pPr>
    </w:p>
    <w:p w:rsidR="00A54810" w:rsidRDefault="00A54810" w:rsidP="00A54810">
      <w:pPr>
        <w:pStyle w:val="a3"/>
        <w:spacing w:line="460" w:lineRule="exact"/>
        <w:ind w:leftChars="0" w:left="720"/>
        <w:rPr>
          <w:rFonts w:ascii="標楷體" w:eastAsia="標楷體" w:hAnsi="標楷體"/>
          <w:b/>
          <w:sz w:val="28"/>
          <w:szCs w:val="28"/>
        </w:rPr>
      </w:pPr>
    </w:p>
    <w:p w:rsidR="00A54810" w:rsidRDefault="00A54810" w:rsidP="00A54810">
      <w:pPr>
        <w:pStyle w:val="a3"/>
        <w:spacing w:line="460" w:lineRule="exact"/>
        <w:ind w:leftChars="0" w:left="720"/>
        <w:rPr>
          <w:rFonts w:ascii="標楷體" w:eastAsia="標楷體" w:hAnsi="標楷體"/>
          <w:b/>
          <w:sz w:val="28"/>
          <w:szCs w:val="28"/>
        </w:rPr>
      </w:pPr>
      <w:r>
        <w:rPr>
          <w:rFonts w:ascii="標楷體" w:eastAsia="標楷體" w:hAnsi="標楷體" w:hint="eastAsia"/>
          <w:b/>
          <w:sz w:val="28"/>
          <w:szCs w:val="28"/>
        </w:rPr>
        <w:t>結論：</w:t>
      </w:r>
    </w:p>
    <w:p w:rsidR="00A54810" w:rsidRDefault="00A54810" w:rsidP="00A54810">
      <w:pPr>
        <w:pStyle w:val="a3"/>
        <w:spacing w:line="460" w:lineRule="exact"/>
        <w:ind w:leftChars="0" w:left="720"/>
        <w:rPr>
          <w:rFonts w:ascii="標楷體" w:eastAsia="標楷體" w:hAnsi="標楷體"/>
          <w:sz w:val="28"/>
          <w:szCs w:val="28"/>
        </w:rPr>
      </w:pPr>
      <w:r>
        <w:rPr>
          <w:rFonts w:ascii="標楷體" w:eastAsia="標楷體" w:hAnsi="標楷體" w:hint="eastAsia"/>
          <w:sz w:val="28"/>
          <w:szCs w:val="28"/>
        </w:rPr>
        <w:t>上述資料顯示，各工業區產業發展座談會或業務聯繫會報參與人員仍以男性居多，推論為各工業區服務中心及廠協會代表以</w:t>
      </w:r>
      <w:r>
        <w:rPr>
          <w:rFonts w:ascii="標楷體" w:eastAsia="標楷體" w:hAnsi="標楷體" w:hint="eastAsia"/>
          <w:sz w:val="28"/>
          <w:szCs w:val="28"/>
        </w:rPr>
        <w:lastRenderedPageBreak/>
        <w:t>管理階層為主，而管理階層仍以男性居多，故出席人員以男性</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多數；而比較歷年來之產業發展座談會或業務聯繫會報參與人員，女性比例已有增加趨勢，且較工商登記及攤販部分明顯改善，顯示針對各工業區產業發展座談會或業務聯繫會報進行性別平等意識宣導頗有成效，故仍應持續不斷地進行宣導並推廣性別平等教育，以加深性別平等概念，期能鼓勵女性參與更多元之工作與職業。</w:t>
      </w:r>
    </w:p>
    <w:p w:rsidR="008D5768" w:rsidRPr="00A54810" w:rsidRDefault="009C4212"/>
    <w:sectPr w:rsidR="008D5768" w:rsidRPr="00A5481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12" w:rsidRDefault="009C4212" w:rsidP="0023117D">
      <w:r>
        <w:separator/>
      </w:r>
    </w:p>
  </w:endnote>
  <w:endnote w:type="continuationSeparator" w:id="0">
    <w:p w:rsidR="009C4212" w:rsidRDefault="009C4212" w:rsidP="0023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7D" w:rsidRDefault="002311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95268"/>
      <w:docPartObj>
        <w:docPartGallery w:val="Page Numbers (Bottom of Page)"/>
        <w:docPartUnique/>
      </w:docPartObj>
    </w:sdtPr>
    <w:sdtContent>
      <w:bookmarkStart w:id="0" w:name="_GoBack" w:displacedByCustomXml="prev"/>
      <w:bookmarkEnd w:id="0" w:displacedByCustomXml="prev"/>
      <w:p w:rsidR="0023117D" w:rsidRDefault="0023117D">
        <w:pPr>
          <w:pStyle w:val="a7"/>
          <w:jc w:val="center"/>
        </w:pPr>
        <w:r>
          <w:fldChar w:fldCharType="begin"/>
        </w:r>
        <w:r>
          <w:instrText>PAGE   \* MERGEFORMAT</w:instrText>
        </w:r>
        <w:r>
          <w:fldChar w:fldCharType="separate"/>
        </w:r>
        <w:r w:rsidRPr="0023117D">
          <w:rPr>
            <w:noProof/>
            <w:lang w:val="zh-TW"/>
          </w:rPr>
          <w:t>1</w:t>
        </w:r>
        <w:r>
          <w:fldChar w:fldCharType="end"/>
        </w:r>
      </w:p>
    </w:sdtContent>
  </w:sdt>
  <w:p w:rsidR="0023117D" w:rsidRDefault="002311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7D" w:rsidRDefault="002311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12" w:rsidRDefault="009C4212" w:rsidP="0023117D">
      <w:r>
        <w:separator/>
      </w:r>
    </w:p>
  </w:footnote>
  <w:footnote w:type="continuationSeparator" w:id="0">
    <w:p w:rsidR="009C4212" w:rsidRDefault="009C4212" w:rsidP="00231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7D" w:rsidRDefault="002311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7D" w:rsidRDefault="002311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7D" w:rsidRDefault="002311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83394"/>
    <w:multiLevelType w:val="hybridMultilevel"/>
    <w:tmpl w:val="E65CD3A4"/>
    <w:lvl w:ilvl="0" w:tplc="4D784D54">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29"/>
    <w:rsid w:val="00000F29"/>
    <w:rsid w:val="0023117D"/>
    <w:rsid w:val="006E5363"/>
    <w:rsid w:val="009C4212"/>
    <w:rsid w:val="00A54810"/>
    <w:rsid w:val="00E8353E"/>
    <w:rsid w:val="00EA4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14EF-D08E-4367-B775-DF639FEB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810"/>
    <w:pPr>
      <w:ind w:leftChars="200" w:left="480"/>
    </w:pPr>
  </w:style>
  <w:style w:type="table" w:styleId="a4">
    <w:name w:val="Table Grid"/>
    <w:basedOn w:val="a1"/>
    <w:uiPriority w:val="59"/>
    <w:rsid w:val="00A5481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117D"/>
    <w:pPr>
      <w:tabs>
        <w:tab w:val="center" w:pos="4153"/>
        <w:tab w:val="right" w:pos="8306"/>
      </w:tabs>
      <w:snapToGrid w:val="0"/>
    </w:pPr>
    <w:rPr>
      <w:sz w:val="20"/>
      <w:szCs w:val="20"/>
    </w:rPr>
  </w:style>
  <w:style w:type="character" w:customStyle="1" w:styleId="a6">
    <w:name w:val="頁首 字元"/>
    <w:basedOn w:val="a0"/>
    <w:link w:val="a5"/>
    <w:uiPriority w:val="99"/>
    <w:rsid w:val="0023117D"/>
    <w:rPr>
      <w:sz w:val="20"/>
      <w:szCs w:val="20"/>
    </w:rPr>
  </w:style>
  <w:style w:type="paragraph" w:styleId="a7">
    <w:name w:val="footer"/>
    <w:basedOn w:val="a"/>
    <w:link w:val="a8"/>
    <w:uiPriority w:val="99"/>
    <w:unhideWhenUsed/>
    <w:rsid w:val="0023117D"/>
    <w:pPr>
      <w:tabs>
        <w:tab w:val="center" w:pos="4153"/>
        <w:tab w:val="right" w:pos="8306"/>
      </w:tabs>
      <w:snapToGrid w:val="0"/>
    </w:pPr>
    <w:rPr>
      <w:sz w:val="20"/>
      <w:szCs w:val="20"/>
    </w:rPr>
  </w:style>
  <w:style w:type="character" w:customStyle="1" w:styleId="a8">
    <w:name w:val="頁尾 字元"/>
    <w:basedOn w:val="a0"/>
    <w:link w:val="a7"/>
    <w:uiPriority w:val="99"/>
    <w:rsid w:val="002311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7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工作表1!$B$1</c:f>
              <c:strCache>
                <c:ptCount val="1"/>
                <c:pt idx="0">
                  <c:v>男</c:v>
                </c:pt>
              </c:strCache>
            </c:strRef>
          </c:tx>
          <c:invertIfNegative val="0"/>
          <c:cat>
            <c:strRef>
              <c:f>工作表1!$A$2:$A$21</c:f>
              <c:strCache>
                <c:ptCount val="20"/>
                <c:pt idx="0">
                  <c:v>102/4/15</c:v>
                </c:pt>
                <c:pt idx="1">
                  <c:v>102/5/13</c:v>
                </c:pt>
                <c:pt idx="2">
                  <c:v>102/6/24 </c:v>
                </c:pt>
                <c:pt idx="3">
                  <c:v>102/7/8 </c:v>
                </c:pt>
                <c:pt idx="4">
                  <c:v>102/8/8</c:v>
                </c:pt>
                <c:pt idx="5">
                  <c:v>102/9/4 </c:v>
                </c:pt>
                <c:pt idx="6">
                  <c:v>102/10/3 </c:v>
                </c:pt>
                <c:pt idx="7">
                  <c:v>102/10/16 </c:v>
                </c:pt>
                <c:pt idx="8">
                  <c:v>102/11/13 </c:v>
                </c:pt>
                <c:pt idx="9">
                  <c:v>102/12/25</c:v>
                </c:pt>
                <c:pt idx="10">
                  <c:v>103/2/18</c:v>
                </c:pt>
                <c:pt idx="11">
                  <c:v>103/4/16</c:v>
                </c:pt>
                <c:pt idx="12">
                  <c:v>103/9/23</c:v>
                </c:pt>
                <c:pt idx="13">
                  <c:v>104/05/25</c:v>
                </c:pt>
                <c:pt idx="14">
                  <c:v>104/06/29</c:v>
                </c:pt>
                <c:pt idx="15">
                  <c:v>104/07/28</c:v>
                </c:pt>
                <c:pt idx="16">
                  <c:v>104/08/26</c:v>
                </c:pt>
                <c:pt idx="17">
                  <c:v>104/09/21</c:v>
                </c:pt>
                <c:pt idx="18">
                  <c:v>104/11/25</c:v>
                </c:pt>
                <c:pt idx="19">
                  <c:v>104/12/28</c:v>
                </c:pt>
              </c:strCache>
            </c:strRef>
          </c:cat>
          <c:val>
            <c:numRef>
              <c:f>工作表1!$B$2:$B$21</c:f>
              <c:numCache>
                <c:formatCode>General</c:formatCode>
                <c:ptCount val="20"/>
                <c:pt idx="0">
                  <c:v>31</c:v>
                </c:pt>
                <c:pt idx="1">
                  <c:v>42</c:v>
                </c:pt>
                <c:pt idx="2">
                  <c:v>33</c:v>
                </c:pt>
                <c:pt idx="3">
                  <c:v>67</c:v>
                </c:pt>
                <c:pt idx="4">
                  <c:v>38</c:v>
                </c:pt>
                <c:pt idx="5">
                  <c:v>54</c:v>
                </c:pt>
                <c:pt idx="6">
                  <c:v>44</c:v>
                </c:pt>
                <c:pt idx="7">
                  <c:v>76</c:v>
                </c:pt>
                <c:pt idx="8">
                  <c:v>86</c:v>
                </c:pt>
                <c:pt idx="9">
                  <c:v>57</c:v>
                </c:pt>
                <c:pt idx="10">
                  <c:v>50</c:v>
                </c:pt>
                <c:pt idx="11">
                  <c:v>42</c:v>
                </c:pt>
                <c:pt idx="12">
                  <c:v>48</c:v>
                </c:pt>
                <c:pt idx="13">
                  <c:v>25</c:v>
                </c:pt>
                <c:pt idx="14">
                  <c:v>24</c:v>
                </c:pt>
                <c:pt idx="15">
                  <c:v>39</c:v>
                </c:pt>
                <c:pt idx="16">
                  <c:v>35</c:v>
                </c:pt>
                <c:pt idx="17">
                  <c:v>42</c:v>
                </c:pt>
                <c:pt idx="18">
                  <c:v>31</c:v>
                </c:pt>
                <c:pt idx="19">
                  <c:v>44</c:v>
                </c:pt>
              </c:numCache>
            </c:numRef>
          </c:val>
        </c:ser>
        <c:ser>
          <c:idx val="1"/>
          <c:order val="1"/>
          <c:tx>
            <c:strRef>
              <c:f>工作表1!$C$1</c:f>
              <c:strCache>
                <c:ptCount val="1"/>
                <c:pt idx="0">
                  <c:v>女</c:v>
                </c:pt>
              </c:strCache>
            </c:strRef>
          </c:tx>
          <c:invertIfNegative val="0"/>
          <c:cat>
            <c:strRef>
              <c:f>工作表1!$A$2:$A$21</c:f>
              <c:strCache>
                <c:ptCount val="20"/>
                <c:pt idx="0">
                  <c:v>102/4/15</c:v>
                </c:pt>
                <c:pt idx="1">
                  <c:v>102/5/13</c:v>
                </c:pt>
                <c:pt idx="2">
                  <c:v>102/6/24 </c:v>
                </c:pt>
                <c:pt idx="3">
                  <c:v>102/7/8 </c:v>
                </c:pt>
                <c:pt idx="4">
                  <c:v>102/8/8</c:v>
                </c:pt>
                <c:pt idx="5">
                  <c:v>102/9/4 </c:v>
                </c:pt>
                <c:pt idx="6">
                  <c:v>102/10/3 </c:v>
                </c:pt>
                <c:pt idx="7">
                  <c:v>102/10/16 </c:v>
                </c:pt>
                <c:pt idx="8">
                  <c:v>102/11/13 </c:v>
                </c:pt>
                <c:pt idx="9">
                  <c:v>102/12/25</c:v>
                </c:pt>
                <c:pt idx="10">
                  <c:v>103/2/18</c:v>
                </c:pt>
                <c:pt idx="11">
                  <c:v>103/4/16</c:v>
                </c:pt>
                <c:pt idx="12">
                  <c:v>103/9/23</c:v>
                </c:pt>
                <c:pt idx="13">
                  <c:v>104/05/25</c:v>
                </c:pt>
                <c:pt idx="14">
                  <c:v>104/06/29</c:v>
                </c:pt>
                <c:pt idx="15">
                  <c:v>104/07/28</c:v>
                </c:pt>
                <c:pt idx="16">
                  <c:v>104/08/26</c:v>
                </c:pt>
                <c:pt idx="17">
                  <c:v>104/09/21</c:v>
                </c:pt>
                <c:pt idx="18">
                  <c:v>104/11/25</c:v>
                </c:pt>
                <c:pt idx="19">
                  <c:v>104/12/28</c:v>
                </c:pt>
              </c:strCache>
            </c:strRef>
          </c:cat>
          <c:val>
            <c:numRef>
              <c:f>工作表1!$C$2:$C$21</c:f>
              <c:numCache>
                <c:formatCode>General</c:formatCode>
                <c:ptCount val="20"/>
                <c:pt idx="0">
                  <c:v>18</c:v>
                </c:pt>
                <c:pt idx="1">
                  <c:v>10</c:v>
                </c:pt>
                <c:pt idx="2">
                  <c:v>13</c:v>
                </c:pt>
                <c:pt idx="3">
                  <c:v>18</c:v>
                </c:pt>
                <c:pt idx="4">
                  <c:v>8</c:v>
                </c:pt>
                <c:pt idx="5">
                  <c:v>29</c:v>
                </c:pt>
                <c:pt idx="6">
                  <c:v>15</c:v>
                </c:pt>
                <c:pt idx="7">
                  <c:v>16</c:v>
                </c:pt>
                <c:pt idx="8">
                  <c:v>16</c:v>
                </c:pt>
                <c:pt idx="9">
                  <c:v>7</c:v>
                </c:pt>
                <c:pt idx="10">
                  <c:v>15</c:v>
                </c:pt>
                <c:pt idx="11">
                  <c:v>17</c:v>
                </c:pt>
                <c:pt idx="12">
                  <c:v>16</c:v>
                </c:pt>
                <c:pt idx="13">
                  <c:v>9</c:v>
                </c:pt>
                <c:pt idx="14">
                  <c:v>7</c:v>
                </c:pt>
                <c:pt idx="15">
                  <c:v>7</c:v>
                </c:pt>
                <c:pt idx="16">
                  <c:v>19</c:v>
                </c:pt>
                <c:pt idx="17">
                  <c:v>10</c:v>
                </c:pt>
                <c:pt idx="18">
                  <c:v>18</c:v>
                </c:pt>
                <c:pt idx="19">
                  <c:v>13</c:v>
                </c:pt>
              </c:numCache>
            </c:numRef>
          </c:val>
        </c:ser>
        <c:dLbls>
          <c:showLegendKey val="0"/>
          <c:showVal val="0"/>
          <c:showCatName val="0"/>
          <c:showSerName val="0"/>
          <c:showPercent val="0"/>
          <c:showBubbleSize val="0"/>
        </c:dLbls>
        <c:gapWidth val="150"/>
        <c:overlap val="100"/>
        <c:axId val="403093472"/>
        <c:axId val="281199648"/>
      </c:barChart>
      <c:catAx>
        <c:axId val="403093472"/>
        <c:scaling>
          <c:orientation val="minMax"/>
        </c:scaling>
        <c:delete val="0"/>
        <c:axPos val="b"/>
        <c:numFmt formatCode="General" sourceLinked="0"/>
        <c:majorTickMark val="out"/>
        <c:minorTickMark val="none"/>
        <c:tickLblPos val="nextTo"/>
        <c:crossAx val="281199648"/>
        <c:crosses val="autoZero"/>
        <c:auto val="1"/>
        <c:lblAlgn val="ctr"/>
        <c:lblOffset val="100"/>
        <c:noMultiLvlLbl val="0"/>
      </c:catAx>
      <c:valAx>
        <c:axId val="281199648"/>
        <c:scaling>
          <c:orientation val="minMax"/>
        </c:scaling>
        <c:delete val="0"/>
        <c:axPos val="l"/>
        <c:majorGridlines/>
        <c:numFmt formatCode="General" sourceLinked="1"/>
        <c:majorTickMark val="out"/>
        <c:minorTickMark val="none"/>
        <c:tickLblPos val="nextTo"/>
        <c:crossAx val="403093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賴嘉琳</dc:creator>
  <cp:keywords/>
  <dc:description/>
  <cp:lastModifiedBy>賴嘉琳</cp:lastModifiedBy>
  <cp:revision>9</cp:revision>
  <dcterms:created xsi:type="dcterms:W3CDTF">2016-03-03T05:33:00Z</dcterms:created>
  <dcterms:modified xsi:type="dcterms:W3CDTF">2016-03-03T06:01:00Z</dcterms:modified>
</cp:coreProperties>
</file>