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87" w:rsidRDefault="00EF3B87" w:rsidP="00EF3B87">
      <w:pPr>
        <w:jc w:val="center"/>
        <w:rPr>
          <w:rFonts w:ascii="標楷體" w:eastAsia="標楷體" w:hAnsi="標楷體"/>
          <w:sz w:val="36"/>
          <w:szCs w:val="36"/>
        </w:rPr>
      </w:pPr>
      <w:r w:rsidRPr="00F42B1C">
        <w:rPr>
          <w:rFonts w:ascii="標楷體" w:eastAsia="標楷體" w:hAnsi="標楷體" w:hint="eastAsia"/>
          <w:sz w:val="36"/>
          <w:szCs w:val="36"/>
        </w:rPr>
        <w:t>桃園市原住民族集會所場地使用收費標準</w:t>
      </w:r>
      <w:r>
        <w:rPr>
          <w:rFonts w:ascii="標楷體" w:eastAsia="標楷體" w:hAnsi="標楷體" w:hint="eastAsia"/>
          <w:sz w:val="36"/>
          <w:szCs w:val="36"/>
        </w:rPr>
        <w:t>條文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T3Font_3"/>
          <w:kern w:val="0"/>
          <w:sz w:val="28"/>
          <w:szCs w:val="24"/>
        </w:rPr>
      </w:pP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第</w:t>
      </w:r>
      <w:r w:rsidRPr="00EF3B87">
        <w:rPr>
          <w:rFonts w:ascii="標楷體" w:eastAsia="標楷體" w:hAnsi="標楷體" w:cs="T3Font_18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一</w:t>
      </w:r>
      <w:r w:rsidRPr="00EF3B87">
        <w:rPr>
          <w:rFonts w:ascii="標楷體" w:eastAsia="標楷體" w:hAnsi="標楷體" w:cs="T3Font_19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3" w:hint="eastAsia"/>
          <w:kern w:val="0"/>
          <w:sz w:val="28"/>
          <w:szCs w:val="24"/>
        </w:rPr>
        <w:t>條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 w:val="28"/>
          <w:szCs w:val="24"/>
        </w:rPr>
      </w:pPr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本標準依規費法第十條第一項規定訂定之。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T3Font_3"/>
          <w:kern w:val="0"/>
          <w:sz w:val="28"/>
          <w:szCs w:val="24"/>
        </w:rPr>
      </w:pP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第</w:t>
      </w:r>
      <w:r w:rsidRPr="00EF3B87">
        <w:rPr>
          <w:rFonts w:ascii="標楷體" w:eastAsia="標楷體" w:hAnsi="標楷體" w:cs="T3Font_18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19" w:hint="eastAsia"/>
          <w:kern w:val="0"/>
          <w:sz w:val="28"/>
          <w:szCs w:val="24"/>
        </w:rPr>
        <w:t>二</w:t>
      </w:r>
      <w:r w:rsidRPr="00EF3B87">
        <w:rPr>
          <w:rFonts w:ascii="標楷體" w:eastAsia="標楷體" w:hAnsi="標楷體" w:cs="T3Font_19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3" w:hint="eastAsia"/>
          <w:kern w:val="0"/>
          <w:sz w:val="28"/>
          <w:szCs w:val="24"/>
        </w:rPr>
        <w:t>條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 w:val="28"/>
          <w:szCs w:val="24"/>
        </w:rPr>
      </w:pPr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桃園市各區原住民族集會所場地使用收費基準如附表。</w:t>
      </w:r>
      <w:bookmarkStart w:id="0" w:name="_GoBack"/>
      <w:bookmarkEnd w:id="0"/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T3Font_3"/>
          <w:kern w:val="0"/>
          <w:sz w:val="28"/>
          <w:szCs w:val="24"/>
        </w:rPr>
      </w:pP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第</w:t>
      </w:r>
      <w:r w:rsidRPr="00EF3B87">
        <w:rPr>
          <w:rFonts w:ascii="標楷體" w:eastAsia="標楷體" w:hAnsi="標楷體" w:cs="T3Font_18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19" w:hint="eastAsia"/>
          <w:kern w:val="0"/>
          <w:sz w:val="28"/>
          <w:szCs w:val="24"/>
        </w:rPr>
        <w:t>三</w:t>
      </w:r>
      <w:r w:rsidRPr="00EF3B87">
        <w:rPr>
          <w:rFonts w:ascii="標楷體" w:eastAsia="標楷體" w:hAnsi="標楷體" w:cs="T3Font_19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3" w:hint="eastAsia"/>
          <w:kern w:val="0"/>
          <w:sz w:val="28"/>
          <w:szCs w:val="24"/>
        </w:rPr>
        <w:t>條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 w:val="28"/>
          <w:szCs w:val="24"/>
        </w:rPr>
      </w:pPr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桃園市政府及所屬機關因公務舉辦之集會、研習、訓練、會議或具公益性質之</w:t>
      </w:r>
      <w:proofErr w:type="gramStart"/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原住民族協進</w:t>
      </w:r>
      <w:proofErr w:type="gramEnd"/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會或本市原住民族社團舉辦原住民文化技藝之集會、會議、研習及相關活動，免收場地使用費及保證金。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  <w:sz w:val="28"/>
          <w:szCs w:val="24"/>
        </w:rPr>
      </w:pPr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其他政府機關或本市各級學校舉辦之公益、教育或藝文活動，非營利行為者，得減收二分之一或經專案核准免收場地使用費及保證金。</w:t>
      </w:r>
    </w:p>
    <w:p w:rsidR="00EF3B87" w:rsidRPr="00EF3B87" w:rsidRDefault="00EF3B87" w:rsidP="00EF3B87">
      <w:pPr>
        <w:autoSpaceDE w:val="0"/>
        <w:autoSpaceDN w:val="0"/>
        <w:adjustRightInd w:val="0"/>
        <w:rPr>
          <w:rFonts w:ascii="標楷體" w:eastAsia="標楷體" w:hAnsi="標楷體" w:cs="T3Font_3"/>
          <w:kern w:val="0"/>
          <w:sz w:val="28"/>
          <w:szCs w:val="24"/>
        </w:rPr>
      </w:pP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第</w:t>
      </w:r>
      <w:r w:rsidRPr="00EF3B87">
        <w:rPr>
          <w:rFonts w:ascii="標楷體" w:eastAsia="標楷體" w:hAnsi="標楷體" w:cs="T3Font_18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18" w:hint="eastAsia"/>
          <w:kern w:val="0"/>
          <w:sz w:val="28"/>
          <w:szCs w:val="24"/>
        </w:rPr>
        <w:t>四</w:t>
      </w:r>
      <w:r w:rsidRPr="00EF3B87">
        <w:rPr>
          <w:rFonts w:ascii="標楷體" w:eastAsia="標楷體" w:hAnsi="標楷體" w:cs="T3Font_19"/>
          <w:kern w:val="0"/>
          <w:sz w:val="28"/>
          <w:szCs w:val="24"/>
        </w:rPr>
        <w:t xml:space="preserve"> </w:t>
      </w:r>
      <w:r w:rsidRPr="00EF3B87">
        <w:rPr>
          <w:rFonts w:ascii="標楷體" w:eastAsia="標楷體" w:hAnsi="標楷體" w:cs="T3Font_3" w:hint="eastAsia"/>
          <w:kern w:val="0"/>
          <w:sz w:val="28"/>
          <w:szCs w:val="24"/>
        </w:rPr>
        <w:t>條</w:t>
      </w:r>
    </w:p>
    <w:p w:rsidR="00EF3B87" w:rsidRPr="00EF3B87" w:rsidRDefault="00EF3B87" w:rsidP="00EF3B87">
      <w:pPr>
        <w:widowControl/>
        <w:rPr>
          <w:rFonts w:ascii="標楷體" w:eastAsia="標楷體" w:hAnsi="標楷體"/>
          <w:sz w:val="40"/>
          <w:szCs w:val="36"/>
        </w:rPr>
      </w:pPr>
      <w:r w:rsidRPr="00EF3B87">
        <w:rPr>
          <w:rFonts w:ascii="標楷體" w:eastAsia="標楷體" w:hAnsi="標楷體" w:cs="細明體" w:hint="eastAsia"/>
          <w:kern w:val="0"/>
          <w:sz w:val="28"/>
          <w:szCs w:val="24"/>
        </w:rPr>
        <w:t>本標準自發布日施行。</w:t>
      </w:r>
    </w:p>
    <w:p w:rsidR="00302EFA" w:rsidRDefault="00302EFA"/>
    <w:p w:rsidR="00302EFA" w:rsidRDefault="00302EFA" w:rsidP="00302EFA">
      <w:pPr>
        <w:framePr w:hSpace="180" w:wrap="around" w:vAnchor="text" w:hAnchor="margin" w:y="120"/>
        <w:kinsoku w:val="0"/>
        <w:overflowPunct w:val="0"/>
        <w:ind w:left="360" w:hangingChars="100" w:hanging="360"/>
        <w:jc w:val="center"/>
        <w:rPr>
          <w:rFonts w:ascii="標楷體" w:eastAsia="標楷體" w:hAnsi="標楷體"/>
          <w:sz w:val="28"/>
          <w:szCs w:val="28"/>
        </w:rPr>
      </w:pPr>
      <w:r w:rsidRPr="00F42B1C">
        <w:rPr>
          <w:rFonts w:ascii="標楷體" w:eastAsia="標楷體" w:hAnsi="標楷體" w:hint="eastAsia"/>
          <w:sz w:val="36"/>
          <w:szCs w:val="36"/>
        </w:rPr>
        <w:lastRenderedPageBreak/>
        <w:t>桃園市原住民族集會所場地使用收費標準第二條附表</w:t>
      </w:r>
    </w:p>
    <w:p w:rsidR="00302EFA" w:rsidRPr="00B13BC2" w:rsidRDefault="00302EFA" w:rsidP="00302EFA">
      <w:pPr>
        <w:framePr w:hSpace="180" w:wrap="around" w:vAnchor="text" w:hAnchor="margin" w:y="120"/>
        <w:kinsoku w:val="0"/>
        <w:overflowPunct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13BC2">
        <w:rPr>
          <w:rFonts w:ascii="標楷體" w:eastAsia="標楷體" w:hAnsi="標楷體" w:hint="eastAsia"/>
          <w:sz w:val="28"/>
          <w:szCs w:val="28"/>
        </w:rPr>
        <w:t>附表</w:t>
      </w:r>
    </w:p>
    <w:p w:rsidR="00302EFA" w:rsidRPr="00B13BC2" w:rsidRDefault="00302EFA" w:rsidP="00302EFA">
      <w:pPr>
        <w:framePr w:hSpace="180" w:wrap="around" w:vAnchor="text" w:hAnchor="margin" w:y="120"/>
        <w:kinsoku w:val="0"/>
        <w:overflowPunct w:val="0"/>
        <w:ind w:left="2"/>
        <w:jc w:val="right"/>
        <w:rPr>
          <w:rFonts w:ascii="標楷體" w:eastAsia="標楷體" w:hAnsi="標楷體" w:hint="eastAsia"/>
        </w:rPr>
      </w:pPr>
      <w:r w:rsidRPr="00B13BC2">
        <w:rPr>
          <w:rFonts w:ascii="標楷體" w:eastAsia="標楷體" w:hAnsi="標楷體" w:hint="eastAsia"/>
        </w:rPr>
        <w:t>單位：新臺幣元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700"/>
        <w:gridCol w:w="1702"/>
        <w:gridCol w:w="2124"/>
        <w:gridCol w:w="2269"/>
      </w:tblGrid>
      <w:tr w:rsidR="00302EFA" w:rsidRPr="00B13BC2" w:rsidTr="00302EFA">
        <w:trPr>
          <w:cantSplit/>
        </w:trPr>
        <w:tc>
          <w:tcPr>
            <w:tcW w:w="566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場地別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最大容量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</w:p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</w:tr>
      <w:tr w:rsidR="00302EFA" w:rsidRPr="00B13BC2" w:rsidTr="00117ECF">
        <w:trPr>
          <w:cantSplit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1樓大廳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120元/時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</w:tr>
      <w:tr w:rsidR="00302EFA" w:rsidRPr="00B13BC2" w:rsidTr="00117ECF">
        <w:trPr>
          <w:cantSplit/>
        </w:trPr>
        <w:tc>
          <w:tcPr>
            <w:tcW w:w="566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302EFA" w:rsidRPr="00B13BC2" w:rsidRDefault="00302EFA" w:rsidP="00302EFA">
            <w:pPr>
              <w:framePr w:hSpace="180" w:wrap="around" w:vAnchor="text" w:hAnchor="margin" w:y="120"/>
              <w:kinsoku w:val="0"/>
              <w:overflowPunct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2樓禮堂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150人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260元/時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</w:tr>
      <w:tr w:rsidR="00302EFA" w:rsidRPr="00B13BC2" w:rsidTr="00B72140">
        <w:trPr>
          <w:cantSplit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1樓大廳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220元/時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</w:tr>
      <w:tr w:rsidR="00302EFA" w:rsidRPr="00B13BC2" w:rsidTr="00B72140">
        <w:trPr>
          <w:cantSplit/>
        </w:trPr>
        <w:tc>
          <w:tcPr>
            <w:tcW w:w="5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2樓禮堂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120元/時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171B75">
        <w:trPr>
          <w:cantSplit/>
        </w:trPr>
        <w:tc>
          <w:tcPr>
            <w:tcW w:w="5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FA" w:rsidRPr="00B13BC2" w:rsidRDefault="00302EFA" w:rsidP="00171B75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1樓大廳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171B75">
        <w:trPr>
          <w:cantSplit/>
        </w:trPr>
        <w:tc>
          <w:tcPr>
            <w:tcW w:w="566" w:type="pct"/>
            <w:vMerge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2樓研習教室(1)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171B75">
        <w:trPr>
          <w:cantSplit/>
        </w:trPr>
        <w:tc>
          <w:tcPr>
            <w:tcW w:w="566" w:type="pct"/>
            <w:vMerge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2樓研習教室(2)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171B75">
        <w:trPr>
          <w:cantSplit/>
        </w:trPr>
        <w:tc>
          <w:tcPr>
            <w:tcW w:w="566" w:type="pct"/>
            <w:vMerge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2樓研習教室(3)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302EFA">
        <w:trPr>
          <w:cantSplit/>
        </w:trPr>
        <w:tc>
          <w:tcPr>
            <w:tcW w:w="566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大廳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680元/時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</w:tr>
      <w:tr w:rsidR="00302EFA" w:rsidRPr="00B13BC2" w:rsidTr="00302EFA">
        <w:trPr>
          <w:cantSplit/>
        </w:trPr>
        <w:tc>
          <w:tcPr>
            <w:tcW w:w="566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90元/時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407FBC">
        <w:trPr>
          <w:cantSplit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1樓大廳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220元/時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140元/時</w:t>
            </w:r>
          </w:p>
        </w:tc>
      </w:tr>
      <w:tr w:rsidR="00302EFA" w:rsidRPr="00B13BC2" w:rsidTr="00407FBC">
        <w:trPr>
          <w:cantSplit/>
        </w:trPr>
        <w:tc>
          <w:tcPr>
            <w:tcW w:w="566" w:type="pct"/>
            <w:vMerge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3BC2">
              <w:rPr>
                <w:rFonts w:ascii="標楷體" w:eastAsia="標楷體" w:hAnsi="標楷體" w:hint="eastAsia"/>
                <w:sz w:val="28"/>
                <w:szCs w:val="28"/>
              </w:rPr>
              <w:t>2樓研習教室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  <w:tc>
          <w:tcPr>
            <w:tcW w:w="1144" w:type="pct"/>
            <w:vAlign w:val="center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70元/時</w:t>
            </w:r>
          </w:p>
        </w:tc>
      </w:tr>
      <w:tr w:rsidR="00302EFA" w:rsidRPr="00B13BC2" w:rsidTr="00302EFA">
        <w:tc>
          <w:tcPr>
            <w:tcW w:w="566" w:type="pct"/>
            <w:shd w:val="clear" w:color="auto" w:fill="auto"/>
            <w:vAlign w:val="center"/>
          </w:tcPr>
          <w:p w:rsid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B3410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</w:t>
            </w:r>
          </w:p>
          <w:p w:rsid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  <w:p w:rsidR="00302EFA" w:rsidRPr="00B13BC2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3410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434" w:type="pct"/>
            <w:gridSpan w:val="4"/>
            <w:shd w:val="clear" w:color="auto" w:fill="auto"/>
          </w:tcPr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一、場地使用費以每小時為計價單位，逾時三十分鐘以上未滿一小時者，以一小時計；逾時未滿三十分鐘者，不予計價。</w:t>
            </w:r>
          </w:p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二、使用冷氣者，冷氣使用費以每小時為計價單位，逾時三十分鐘以上未滿一小時者，以一小時計；逾時未滿三十分鐘者，不予計價。</w:t>
            </w:r>
          </w:p>
          <w:p w:rsidR="00302EFA" w:rsidRPr="00302EFA" w:rsidRDefault="00302EFA" w:rsidP="00790292">
            <w:pPr>
              <w:framePr w:hSpace="180" w:wrap="around" w:vAnchor="text" w:hAnchor="margin" w:y="120"/>
              <w:kinsoku w:val="0"/>
              <w:overflowPunct w:val="0"/>
              <w:snapToGrid w:val="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2EFA">
              <w:rPr>
                <w:rFonts w:ascii="標楷體" w:eastAsia="標楷體" w:hAnsi="標楷體" w:hint="eastAsia"/>
                <w:sz w:val="28"/>
                <w:szCs w:val="28"/>
              </w:rPr>
              <w:t>三、保證金最高新臺幣三千元。</w:t>
            </w:r>
          </w:p>
        </w:tc>
      </w:tr>
    </w:tbl>
    <w:p w:rsidR="007570DB" w:rsidRDefault="007570DB" w:rsidP="00302EFA">
      <w:pPr>
        <w:framePr w:hSpace="180" w:wrap="around" w:vAnchor="text" w:hAnchor="margin" w:y="120"/>
        <w:kinsoku w:val="0"/>
        <w:overflowPunct w:val="0"/>
        <w:ind w:left="2"/>
        <w:jc w:val="both"/>
      </w:pPr>
    </w:p>
    <w:sectPr w:rsidR="007570DB" w:rsidSect="00302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18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9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A"/>
    <w:rsid w:val="00302EFA"/>
    <w:rsid w:val="007570DB"/>
    <w:rsid w:val="00E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FAA9"/>
  <w15:chartTrackingRefBased/>
  <w15:docId w15:val="{6FF13933-9BD3-4B6E-8E65-675E76D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陽承叡</dc:creator>
  <cp:keywords/>
  <dc:description/>
  <cp:lastModifiedBy>陽承叡</cp:lastModifiedBy>
  <cp:revision>1</cp:revision>
  <dcterms:created xsi:type="dcterms:W3CDTF">2020-02-10T01:16:00Z</dcterms:created>
  <dcterms:modified xsi:type="dcterms:W3CDTF">2020-02-10T01:29:00Z</dcterms:modified>
</cp:coreProperties>
</file>