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19" w:rsidRPr="00E92031" w:rsidRDefault="006D1319" w:rsidP="00345A00">
      <w:pPr>
        <w:snapToGrid w:val="0"/>
        <w:spacing w:line="48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E92031">
        <w:rPr>
          <w:rFonts w:ascii="標楷體" w:eastAsia="標楷體" w:hAnsi="標楷體" w:hint="eastAsia"/>
          <w:color w:val="000000" w:themeColor="text1"/>
          <w:sz w:val="36"/>
          <w:szCs w:val="36"/>
        </w:rPr>
        <w:t>桃園市建築基地設置雨水溢流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36"/>
          <w:szCs w:val="36"/>
        </w:rPr>
        <w:t>貯集滯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36"/>
          <w:szCs w:val="36"/>
        </w:rPr>
        <w:t>洪設施</w:t>
      </w:r>
    </w:p>
    <w:p w:rsidR="00D56FF4" w:rsidRPr="00E92031" w:rsidRDefault="006D1319" w:rsidP="00345A00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E92031">
        <w:rPr>
          <w:rFonts w:ascii="標楷體" w:eastAsia="標楷體" w:hAnsi="標楷體" w:hint="eastAsia"/>
          <w:color w:val="000000" w:themeColor="text1"/>
          <w:sz w:val="36"/>
          <w:szCs w:val="36"/>
        </w:rPr>
        <w:t>管理辦法草案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為設計審查、查驗及管理維護本市建築基地雨水溢流貯集</w:t>
      </w:r>
    </w:p>
    <w:p w:rsidR="006D1319" w:rsidRPr="00E92031" w:rsidRDefault="006D1319" w:rsidP="00345A00">
      <w:pPr>
        <w:pStyle w:val="a3"/>
        <w:spacing w:line="480" w:lineRule="exact"/>
        <w:ind w:leftChars="0" w:left="1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滯洪設施，以分擔雨水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流防洪治理功能，特</w:t>
      </w:r>
      <w:r w:rsidRPr="00E920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訂定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本辦法</w:t>
      </w:r>
    </w:p>
    <w:p w:rsidR="006D1319" w:rsidRPr="00E92031" w:rsidRDefault="006D1319" w:rsidP="00345A00">
      <w:pPr>
        <w:pStyle w:val="a3"/>
        <w:spacing w:line="480" w:lineRule="exact"/>
        <w:ind w:leftChars="0" w:left="1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本辦法之主管機關為桃園市政府（以下簡稱本府）。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本辦法所稱雨水溢流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貯集滯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洪設施，指設置於建築基地內，</w:t>
      </w:r>
    </w:p>
    <w:p w:rsidR="006D1319" w:rsidRPr="00E92031" w:rsidRDefault="006D1319" w:rsidP="00345A00">
      <w:pPr>
        <w:pStyle w:val="a3"/>
        <w:spacing w:line="480" w:lineRule="exact"/>
        <w:ind w:leftChars="0" w:left="1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雨水由道路側排水溝經由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截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水溝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及溢流堰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流入建築基地內之雨水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貯集槽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、進出流管道及監控管理設備。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申請設置雨水溢流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貯集滯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洪設施，應檢附規劃圖說、設計圖、監控管理施工設計及排水計畫等資料，向本府申請審查核准後，始得施工；工程完竣後，應報請本府查驗。但經本府同意者，不在此限。</w:t>
      </w:r>
    </w:p>
    <w:p w:rsidR="006D1319" w:rsidRPr="00E92031" w:rsidRDefault="006D1319" w:rsidP="00345A00">
      <w:pPr>
        <w:pStyle w:val="a3"/>
        <w:spacing w:line="480" w:lineRule="exact"/>
        <w:ind w:leftChars="0" w:left="1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前項審查或查驗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合格者，應於本府指定限期內改善完成。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雨水溢流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貯集滯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洪設施應設置於建築基地內，其進水管道與建築基地臨道路側之排水溝應設置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截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水溝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及溢流堰。</w:t>
      </w:r>
      <w:proofErr w:type="gramEnd"/>
    </w:p>
    <w:p w:rsidR="006D1319" w:rsidRPr="00E92031" w:rsidRDefault="006D1319" w:rsidP="00345A00">
      <w:pPr>
        <w:pStyle w:val="a3"/>
        <w:spacing w:line="480" w:lineRule="exact"/>
        <w:ind w:leftChars="0" w:left="1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截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水溝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及溢流堰之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設計應由建築師或專業技師簽證，其位置圖及大樣圖說等文件應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同前條申請程序辦理審查及查驗。</w:t>
      </w:r>
    </w:p>
    <w:p w:rsidR="006D1319" w:rsidRPr="00E92031" w:rsidRDefault="006D1319" w:rsidP="00345A00">
      <w:pPr>
        <w:pStyle w:val="a3"/>
        <w:spacing w:line="480" w:lineRule="exact"/>
        <w:ind w:leftChars="0" w:left="1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建築基地內設置雨水溢流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貯集滯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洪設施之審查及查驗項目如下：</w:t>
      </w:r>
    </w:p>
    <w:p w:rsidR="00A235E1" w:rsidRPr="00E92031" w:rsidRDefault="00A235E1" w:rsidP="00A235E1">
      <w:pPr>
        <w:pStyle w:val="a3"/>
        <w:numPr>
          <w:ilvl w:val="0"/>
          <w:numId w:val="5"/>
        </w:numPr>
        <w:snapToGrid w:val="0"/>
        <w:spacing w:line="480" w:lineRule="exact"/>
        <w:ind w:leftChars="0" w:left="1418" w:rightChars="13" w:right="31" w:hanging="1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基地外排水溝與基地內溢流井之連通管。</w:t>
      </w:r>
    </w:p>
    <w:p w:rsidR="00A235E1" w:rsidRPr="00E92031" w:rsidRDefault="00A235E1" w:rsidP="00A235E1">
      <w:pPr>
        <w:pStyle w:val="a3"/>
        <w:numPr>
          <w:ilvl w:val="0"/>
          <w:numId w:val="5"/>
        </w:numPr>
        <w:snapToGrid w:val="0"/>
        <w:spacing w:line="480" w:lineRule="exact"/>
        <w:ind w:leftChars="0" w:left="1418" w:rightChars="13" w:right="31" w:hanging="1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基地內溢流井。</w:t>
      </w:r>
    </w:p>
    <w:p w:rsidR="00A235E1" w:rsidRPr="00E92031" w:rsidRDefault="00A235E1" w:rsidP="00A235E1">
      <w:pPr>
        <w:pStyle w:val="a3"/>
        <w:numPr>
          <w:ilvl w:val="0"/>
          <w:numId w:val="5"/>
        </w:numPr>
        <w:snapToGrid w:val="0"/>
        <w:spacing w:line="480" w:lineRule="exact"/>
        <w:ind w:leftChars="0" w:left="1418" w:rightChars="13" w:right="31" w:hanging="1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手動水閘門。</w:t>
      </w:r>
    </w:p>
    <w:p w:rsidR="00A235E1" w:rsidRPr="00E92031" w:rsidRDefault="00A235E1" w:rsidP="00A235E1">
      <w:pPr>
        <w:pStyle w:val="a3"/>
        <w:numPr>
          <w:ilvl w:val="0"/>
          <w:numId w:val="5"/>
        </w:numPr>
        <w:snapToGrid w:val="0"/>
        <w:spacing w:line="480" w:lineRule="exact"/>
        <w:ind w:leftChars="0" w:left="1418" w:rightChars="13" w:right="31" w:hanging="1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通氣管。</w:t>
      </w:r>
    </w:p>
    <w:p w:rsidR="00A235E1" w:rsidRPr="00E92031" w:rsidRDefault="00A235E1" w:rsidP="00A235E1">
      <w:pPr>
        <w:pStyle w:val="a3"/>
        <w:numPr>
          <w:ilvl w:val="0"/>
          <w:numId w:val="5"/>
        </w:numPr>
        <w:snapToGrid w:val="0"/>
        <w:spacing w:line="480" w:lineRule="exact"/>
        <w:ind w:leftChars="0" w:left="1418" w:rightChars="13" w:right="31" w:hanging="1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自動水閘門。</w:t>
      </w:r>
    </w:p>
    <w:p w:rsidR="00A235E1" w:rsidRPr="00E92031" w:rsidRDefault="00A235E1" w:rsidP="00A235E1">
      <w:pPr>
        <w:pStyle w:val="a3"/>
        <w:numPr>
          <w:ilvl w:val="0"/>
          <w:numId w:val="5"/>
        </w:numPr>
        <w:snapToGrid w:val="0"/>
        <w:spacing w:line="480" w:lineRule="exact"/>
        <w:ind w:leftChars="0" w:left="1418" w:rightChars="13" w:right="31" w:hanging="1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水密人孔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蓋（數量視滯洪池範圍而訂）。</w:t>
      </w:r>
    </w:p>
    <w:p w:rsidR="006D1319" w:rsidRPr="00E92031" w:rsidRDefault="00A235E1" w:rsidP="00A235E1">
      <w:pPr>
        <w:pStyle w:val="a3"/>
        <w:numPr>
          <w:ilvl w:val="0"/>
          <w:numId w:val="5"/>
        </w:numPr>
        <w:snapToGrid w:val="0"/>
        <w:spacing w:line="480" w:lineRule="exact"/>
        <w:ind w:leftChars="0" w:left="1843" w:rightChars="13" w:right="3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原建築之雨汙水管理系統機電運作須能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獨立作動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，另提供介面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供本滯洪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設施連結（單接點）做智慧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筏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基調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控系統，前述智慧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筏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基調控系統之電力及通訊等基本能源通信供應需另外獨立運作。</w:t>
      </w:r>
    </w:p>
    <w:p w:rsidR="00345A00" w:rsidRPr="00E92031" w:rsidRDefault="006D1319" w:rsidP="00A235E1">
      <w:pPr>
        <w:pStyle w:val="a3"/>
        <w:numPr>
          <w:ilvl w:val="0"/>
          <w:numId w:val="5"/>
        </w:numPr>
        <w:snapToGrid w:val="0"/>
        <w:spacing w:line="480" w:lineRule="exact"/>
        <w:ind w:leftChars="0" w:left="1843" w:rightChars="13" w:right="3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其他經本府指定事項。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雨水溢流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貯集滯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洪設施圖說、計畫及設施之審查及查驗工作，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本府得委託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專業技術機構或單位（以下簡稱專業單位）辦理審查及查驗。</w:t>
      </w:r>
    </w:p>
    <w:p w:rsidR="006D1319" w:rsidRPr="00E92031" w:rsidRDefault="006D1319" w:rsidP="00345A00">
      <w:pPr>
        <w:pStyle w:val="a3"/>
        <w:spacing w:line="480" w:lineRule="exact"/>
        <w:ind w:leftChars="0" w:left="1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前項專業單位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辦理審查及查驗應由建築師或系統工程師執行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，並應遵守利益迴避原則。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申請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雨水溢流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貯集滯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洪設施審查及查驗，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應由申請人檢附審查文件向本府提出，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由申請人、使用人或所有人依收費標準規定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繳納費用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案件完工後，申請人應檢附查驗文件向本府申請完工查驗。申請人向本府申請使用執照時，應</w:t>
      </w:r>
      <w:proofErr w:type="gramStart"/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檢附經本</w:t>
      </w:r>
      <w:proofErr w:type="gramEnd"/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府查驗合格之公文。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完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工查驗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應經雲端監控管理系統測試正常運作，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構造物斷面及通水斷面之面積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誤差值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不超過百分之十，且不影響原構造物正常功能為合格標準。</w:t>
      </w:r>
    </w:p>
    <w:p w:rsidR="006D1319" w:rsidRPr="00E92031" w:rsidRDefault="006D1319" w:rsidP="00345A00">
      <w:pPr>
        <w:pStyle w:val="a3"/>
        <w:spacing w:line="480" w:lineRule="exact"/>
        <w:ind w:leftChars="0" w:left="1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查驗有</w:t>
      </w:r>
      <w:proofErr w:type="gramStart"/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合格者，應通知申請人限期改善；屆期未改善者，</w:t>
      </w:r>
      <w:proofErr w:type="gramStart"/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本府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駁回</w:t>
      </w:r>
      <w:proofErr w:type="gramEnd"/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其申請。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本府應於受理審查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及查驗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案件之次日起十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個工作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日內完成。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本府或專業單位於審查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查驗時，得要求申請人及申請案簽署建築師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或相關專業技師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到場說明；申請人及申請案簽署建築師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或相關專業技師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未能到場者，應以書面委任代理人。</w:t>
      </w:r>
    </w:p>
    <w:p w:rsidR="006D1319" w:rsidRPr="00E92031" w:rsidRDefault="006D1319" w:rsidP="00345A00">
      <w:pPr>
        <w:pStyle w:val="a3"/>
        <w:spacing w:line="480" w:lineRule="exact"/>
        <w:ind w:leftChars="0" w:left="1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前項委任之代理人以建築師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或專業技師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為限。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申請人於申請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都審、預審或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建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造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執照時，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proofErr w:type="gramStart"/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檢附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proofErr w:type="gramEnd"/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府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確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認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容積獎勵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結果之公文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；並檢附共用部分或約定共用部分標示之詳細圖說及規約草約，明確標示雨水溢流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貯集滯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洪設施為本府接管範圍。</w:t>
      </w:r>
    </w:p>
    <w:p w:rsidR="00AC15A6" w:rsidRPr="00E92031" w:rsidRDefault="006D1319" w:rsidP="00AC15A6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依前條申請容積獎勵之案件，應於</w:t>
      </w:r>
      <w:r w:rsidR="007A66D8"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領得使用執照後，成立管</w:t>
      </w:r>
      <w:r w:rsidR="007A66D8"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理委員會前，起造人應將雨水溢流貯集滯洪設施管理權移交本府，</w:t>
      </w:r>
      <w:r w:rsidR="00293B73"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7A66D8"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繳納維運</w:t>
      </w:r>
      <w:r w:rsidR="007A66D8" w:rsidRPr="00E92031">
        <w:rPr>
          <w:rFonts w:ascii="標楷體" w:eastAsia="標楷體" w:hAnsi="標楷體"/>
          <w:color w:val="000000" w:themeColor="text1"/>
          <w:sz w:val="28"/>
          <w:szCs w:val="28"/>
        </w:rPr>
        <w:t>金作為</w:t>
      </w:r>
      <w:r w:rsidR="007A66D8"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建築基地維護管理費用，及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簽訂協議書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納</w:t>
      </w:r>
      <w:r w:rsidR="00DC3464"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入</w:t>
      </w:r>
      <w:r w:rsidR="00E10D49" w:rsidRPr="00E92031">
        <w:rPr>
          <w:rFonts w:ascii="標楷體" w:eastAsia="標楷體" w:hAnsi="標楷體"/>
          <w:color w:val="000000" w:themeColor="text1"/>
          <w:sz w:val="28"/>
          <w:szCs w:val="28"/>
        </w:rPr>
        <w:t>公寓大廈管理規約</w:t>
      </w:r>
      <w:r w:rsidR="00293B73"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，敘明</w:t>
      </w:r>
      <w:r w:rsidR="00DC3464"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本府</w:t>
      </w:r>
      <w:r w:rsidR="00DC3464" w:rsidRPr="00E92031">
        <w:rPr>
          <w:rFonts w:ascii="標楷體" w:eastAsia="標楷體" w:hAnsi="標楷體"/>
          <w:color w:val="000000" w:themeColor="text1"/>
          <w:sz w:val="28"/>
          <w:szCs w:val="28"/>
        </w:rPr>
        <w:t>接管範圍及相關權利義務</w:t>
      </w:r>
      <w:r w:rsidR="00AC15A6"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6D1319" w:rsidRPr="00E92031" w:rsidRDefault="00AC15A6" w:rsidP="00AC15A6">
      <w:pPr>
        <w:pStyle w:val="a3"/>
        <w:spacing w:line="480" w:lineRule="exact"/>
        <w:ind w:leftChars="0" w:left="1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雨水溢流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貯集滯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洪設施移交</w:t>
      </w:r>
      <w:r w:rsidRPr="00E92031">
        <w:rPr>
          <w:rFonts w:ascii="標楷體" w:eastAsia="標楷體" w:hAnsi="標楷體"/>
          <w:color w:val="000000" w:themeColor="text1"/>
          <w:sz w:val="28"/>
          <w:szCs w:val="28"/>
        </w:rPr>
        <w:t>本府</w:t>
      </w: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管理後，</w:t>
      </w:r>
      <w:r w:rsidR="007A66D8"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始得</w:t>
      </w:r>
      <w:r w:rsidR="006D1319"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領回保證金。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雨水溢流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貯集滯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洪設施經本府接管後，應於每年三月一日至六月三十日，受委託之建築師或專業技師對雨水溢流</w:t>
      </w:r>
      <w:proofErr w:type="gramStart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貯集滯</w:t>
      </w:r>
      <w:proofErr w:type="gramEnd"/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洪設施進行檢查、管理及維護，建築物管理委員會、所有權人或使用人不得規避、妨礙或拒絕。</w:t>
      </w:r>
    </w:p>
    <w:p w:rsidR="006D1319" w:rsidRPr="00E92031" w:rsidRDefault="006D1319" w:rsidP="00345A0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2031">
        <w:rPr>
          <w:rFonts w:ascii="標楷體" w:eastAsia="標楷體" w:hAnsi="標楷體" w:hint="eastAsia"/>
          <w:color w:val="000000" w:themeColor="text1"/>
          <w:sz w:val="28"/>
          <w:szCs w:val="28"/>
        </w:rPr>
        <w:t>本辦法自發布日施行。</w:t>
      </w:r>
    </w:p>
    <w:sectPr w:rsidR="006D1319" w:rsidRPr="00E920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3D4B"/>
    <w:multiLevelType w:val="hybridMultilevel"/>
    <w:tmpl w:val="E8D834BE"/>
    <w:lvl w:ilvl="0" w:tplc="AB7073B2">
      <w:start w:val="1"/>
      <w:numFmt w:val="taiwaneseCountingThousand"/>
      <w:lvlText w:val="第%1條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894867"/>
    <w:multiLevelType w:val="hybridMultilevel"/>
    <w:tmpl w:val="5D8C1CC8"/>
    <w:lvl w:ilvl="0" w:tplc="923EB8EC">
      <w:start w:val="1"/>
      <w:numFmt w:val="taiwaneseCountingThousand"/>
      <w:lvlText w:val="%1、"/>
      <w:lvlJc w:val="left"/>
      <w:pPr>
        <w:ind w:left="655" w:hanging="480"/>
      </w:pPr>
      <w:rPr>
        <w:rFonts w:ascii="標楷體" w:eastAsia="標楷體" w:hAnsi="標楷體" w:cstheme="minorBidi"/>
        <w:lang w:val="en-US"/>
      </w:rPr>
    </w:lvl>
    <w:lvl w:ilvl="1" w:tplc="6B0AE3F2">
      <w:start w:val="1"/>
      <w:numFmt w:val="taiwaneseCountingThousand"/>
      <w:lvlText w:val="(%2)"/>
      <w:lvlJc w:val="left"/>
      <w:pPr>
        <w:ind w:left="113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">
    <w:nsid w:val="392E57CD"/>
    <w:multiLevelType w:val="hybridMultilevel"/>
    <w:tmpl w:val="84CE6A0E"/>
    <w:lvl w:ilvl="0" w:tplc="72B4E81E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3">
    <w:nsid w:val="476B1F5D"/>
    <w:multiLevelType w:val="hybridMultilevel"/>
    <w:tmpl w:val="5D8C1CC8"/>
    <w:lvl w:ilvl="0" w:tplc="923EB8EC">
      <w:start w:val="1"/>
      <w:numFmt w:val="taiwaneseCountingThousand"/>
      <w:lvlText w:val="%1、"/>
      <w:lvlJc w:val="left"/>
      <w:pPr>
        <w:ind w:left="655" w:hanging="480"/>
      </w:pPr>
      <w:rPr>
        <w:rFonts w:ascii="標楷體" w:eastAsia="標楷體" w:hAnsi="標楷體" w:cstheme="minorBidi"/>
        <w:lang w:val="en-US"/>
      </w:rPr>
    </w:lvl>
    <w:lvl w:ilvl="1" w:tplc="6B0AE3F2">
      <w:start w:val="1"/>
      <w:numFmt w:val="taiwaneseCountingThousand"/>
      <w:lvlText w:val="(%2)"/>
      <w:lvlJc w:val="left"/>
      <w:pPr>
        <w:ind w:left="113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4">
    <w:nsid w:val="5BAD3EDB"/>
    <w:multiLevelType w:val="hybridMultilevel"/>
    <w:tmpl w:val="C172AFBE"/>
    <w:lvl w:ilvl="0" w:tplc="C14C0B4E">
      <w:start w:val="1"/>
      <w:numFmt w:val="taiwaneseCountingThousand"/>
      <w:lvlText w:val="第%1條"/>
      <w:lvlJc w:val="left"/>
      <w:pPr>
        <w:ind w:left="1140" w:hanging="11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125821"/>
    <w:multiLevelType w:val="hybridMultilevel"/>
    <w:tmpl w:val="5D8C1CC8"/>
    <w:lvl w:ilvl="0" w:tplc="923EB8EC">
      <w:start w:val="1"/>
      <w:numFmt w:val="taiwaneseCountingThousand"/>
      <w:lvlText w:val="%1、"/>
      <w:lvlJc w:val="left"/>
      <w:pPr>
        <w:ind w:left="655" w:hanging="480"/>
      </w:pPr>
      <w:rPr>
        <w:rFonts w:ascii="標楷體" w:eastAsia="標楷體" w:hAnsi="標楷體" w:cstheme="minorBidi"/>
        <w:lang w:val="en-US"/>
      </w:rPr>
    </w:lvl>
    <w:lvl w:ilvl="1" w:tplc="6B0AE3F2">
      <w:start w:val="1"/>
      <w:numFmt w:val="taiwaneseCountingThousand"/>
      <w:lvlText w:val="(%2)"/>
      <w:lvlJc w:val="left"/>
      <w:pPr>
        <w:ind w:left="113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19"/>
    <w:rsid w:val="000A5E80"/>
    <w:rsid w:val="00293B73"/>
    <w:rsid w:val="00345A00"/>
    <w:rsid w:val="004E5544"/>
    <w:rsid w:val="00564EC7"/>
    <w:rsid w:val="006D1319"/>
    <w:rsid w:val="007A66D8"/>
    <w:rsid w:val="00A235E1"/>
    <w:rsid w:val="00AC15A6"/>
    <w:rsid w:val="00AC3F56"/>
    <w:rsid w:val="00C16CD6"/>
    <w:rsid w:val="00D56FF4"/>
    <w:rsid w:val="00DC3464"/>
    <w:rsid w:val="00E10D49"/>
    <w:rsid w:val="00E9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21CD7-D2CE-4A5A-8D94-71CF7FFB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3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364E-1F66-44B8-BF06-08C5D2FA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蔡佳欣</dc:creator>
  <cp:keywords/>
  <dc:description/>
  <cp:lastModifiedBy>蔡佳欣</cp:lastModifiedBy>
  <cp:revision>13</cp:revision>
  <dcterms:created xsi:type="dcterms:W3CDTF">2022-05-26T08:32:00Z</dcterms:created>
  <dcterms:modified xsi:type="dcterms:W3CDTF">2022-11-06T09:20:00Z</dcterms:modified>
</cp:coreProperties>
</file>