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3BDA" w14:textId="77777777" w:rsidR="00A85A36" w:rsidRPr="00D2796E" w:rsidRDefault="00A85A36" w:rsidP="00A85A36">
      <w:pPr>
        <w:jc w:val="center"/>
        <w:outlineLvl w:val="0"/>
        <w:rPr>
          <w:rFonts w:ascii="Times New Roman" w:eastAsia="標楷體" w:hAnsi="Times New Roman" w:cs="Times New Roman"/>
          <w:b/>
          <w:color w:val="000000" w:themeColor="text1"/>
          <w:sz w:val="32"/>
          <w:szCs w:val="32"/>
        </w:rPr>
      </w:pPr>
      <w:bookmarkStart w:id="0" w:name="_Toc133068770"/>
      <w:r w:rsidRPr="00D2796E">
        <w:rPr>
          <w:rFonts w:ascii="Times New Roman" w:eastAsia="標楷體" w:hAnsi="Times New Roman" w:cs="Times New Roman"/>
          <w:b/>
          <w:color w:val="000000" w:themeColor="text1"/>
          <w:sz w:val="32"/>
          <w:szCs w:val="32"/>
        </w:rPr>
        <w:t>112-115</w:t>
      </w:r>
      <w:r w:rsidRPr="00D2796E">
        <w:rPr>
          <w:rFonts w:ascii="Times New Roman" w:eastAsia="標楷體" w:hAnsi="Times New Roman" w:cs="Times New Roman"/>
          <w:b/>
          <w:color w:val="000000" w:themeColor="text1"/>
          <w:sz w:val="32"/>
          <w:szCs w:val="32"/>
        </w:rPr>
        <w:t>年桃園市政府農業局</w:t>
      </w:r>
      <w:r w:rsidRPr="00D2796E">
        <w:rPr>
          <w:rFonts w:ascii="Times New Roman" w:eastAsia="標楷體" w:hAnsi="Times New Roman" w:cs="Times New Roman" w:hint="eastAsia"/>
          <w:b/>
          <w:color w:val="000000" w:themeColor="text1"/>
          <w:sz w:val="32"/>
          <w:szCs w:val="32"/>
        </w:rPr>
        <w:t>暨動物保護處</w:t>
      </w:r>
      <w:r w:rsidRPr="00D2796E">
        <w:rPr>
          <w:rFonts w:ascii="Times New Roman" w:eastAsia="標楷體" w:hAnsi="Times New Roman" w:cs="Times New Roman"/>
          <w:b/>
          <w:color w:val="000000" w:themeColor="text1"/>
          <w:sz w:val="32"/>
          <w:szCs w:val="32"/>
        </w:rPr>
        <w:t>推動性別主流化實施計畫</w:t>
      </w:r>
      <w:bookmarkEnd w:id="0"/>
    </w:p>
    <w:p w14:paraId="291F026C" w14:textId="77777777" w:rsidR="00A85A36" w:rsidRPr="00D2796E" w:rsidRDefault="00A85A36" w:rsidP="00A85A36">
      <w:pPr>
        <w:wordWrap w:val="0"/>
        <w:spacing w:line="320" w:lineRule="exact"/>
        <w:ind w:right="-1"/>
        <w:jc w:val="right"/>
        <w:rPr>
          <w:rFonts w:ascii="Times New Roman" w:eastAsia="標楷體" w:hAnsi="Times New Roman" w:cs="Times New Roman"/>
          <w:color w:val="000000" w:themeColor="text1"/>
        </w:rPr>
      </w:pPr>
      <w:r w:rsidRPr="00D2796E">
        <w:rPr>
          <w:rFonts w:ascii="Times New Roman" w:eastAsia="標楷體" w:hAnsi="Times New Roman" w:cs="Times New Roman"/>
          <w:color w:val="000000" w:themeColor="text1"/>
        </w:rPr>
        <w:t>112</w:t>
      </w:r>
      <w:r w:rsidRPr="00D2796E">
        <w:rPr>
          <w:rFonts w:ascii="Times New Roman" w:eastAsia="標楷體" w:hAnsi="Times New Roman" w:cs="Times New Roman"/>
          <w:color w:val="000000" w:themeColor="text1"/>
        </w:rPr>
        <w:t>年</w:t>
      </w:r>
      <w:r w:rsidRPr="00D2796E">
        <w:rPr>
          <w:rFonts w:ascii="Times New Roman" w:eastAsia="標楷體" w:hAnsi="Times New Roman" w:cs="Times New Roman"/>
          <w:color w:val="000000" w:themeColor="text1"/>
        </w:rPr>
        <w:t>4</w:t>
      </w:r>
      <w:r w:rsidRPr="00D2796E">
        <w:rPr>
          <w:rFonts w:ascii="Times New Roman" w:eastAsia="標楷體" w:hAnsi="Times New Roman" w:cs="Times New Roman"/>
          <w:color w:val="000000" w:themeColor="text1"/>
        </w:rPr>
        <w:t>月</w:t>
      </w:r>
      <w:r w:rsidRPr="00D2796E">
        <w:rPr>
          <w:rFonts w:ascii="Times New Roman" w:eastAsia="標楷體" w:hAnsi="Times New Roman" w:cs="Times New Roman"/>
          <w:color w:val="000000" w:themeColor="text1"/>
        </w:rPr>
        <w:t>26</w:t>
      </w:r>
      <w:r w:rsidRPr="00D2796E">
        <w:rPr>
          <w:rFonts w:ascii="Times New Roman" w:eastAsia="標楷體" w:hAnsi="Times New Roman" w:cs="Times New Roman"/>
          <w:color w:val="000000" w:themeColor="text1"/>
        </w:rPr>
        <w:t>日桃園市政府農業局性別平等專責小組會議通過</w:t>
      </w:r>
    </w:p>
    <w:p w14:paraId="25ACB61D" w14:textId="77777777" w:rsidR="00A85A36" w:rsidRPr="00D2796E" w:rsidRDefault="00A85A36" w:rsidP="00A85A36">
      <w:pPr>
        <w:wordWrap w:val="0"/>
        <w:spacing w:line="320" w:lineRule="exact"/>
        <w:ind w:right="-1"/>
        <w:jc w:val="right"/>
        <w:rPr>
          <w:rFonts w:ascii="Times New Roman" w:eastAsia="標楷體" w:hAnsi="Times New Roman" w:cs="Times New Roman"/>
          <w:color w:val="000000" w:themeColor="text1"/>
          <w:szCs w:val="24"/>
        </w:rPr>
      </w:pPr>
      <w:r w:rsidRPr="00D2796E">
        <w:rPr>
          <w:rFonts w:ascii="Times New Roman" w:eastAsia="標楷體" w:hAnsi="Times New Roman" w:cs="Times New Roman" w:hint="eastAsia"/>
          <w:color w:val="000000" w:themeColor="text1"/>
          <w:szCs w:val="24"/>
        </w:rPr>
        <w:t>經</w:t>
      </w:r>
      <w:r w:rsidRPr="00D2796E">
        <w:rPr>
          <w:rFonts w:ascii="Times New Roman" w:eastAsia="標楷體" w:hAnsi="Times New Roman" w:cs="Times New Roman" w:hint="eastAsia"/>
          <w:color w:val="000000" w:themeColor="text1"/>
          <w:szCs w:val="24"/>
        </w:rPr>
        <w:t>112</w:t>
      </w:r>
      <w:r w:rsidRPr="00D2796E">
        <w:rPr>
          <w:rFonts w:ascii="Times New Roman" w:eastAsia="標楷體" w:hAnsi="Times New Roman" w:cs="Times New Roman" w:hint="eastAsia"/>
          <w:color w:val="000000" w:themeColor="text1"/>
          <w:szCs w:val="24"/>
        </w:rPr>
        <w:t>年</w:t>
      </w:r>
      <w:r w:rsidRPr="00D2796E">
        <w:rPr>
          <w:rFonts w:ascii="Times New Roman" w:eastAsia="標楷體" w:hAnsi="Times New Roman" w:cs="Times New Roman"/>
          <w:color w:val="000000" w:themeColor="text1"/>
          <w:kern w:val="0"/>
        </w:rPr>
        <w:t>7</w:t>
      </w:r>
      <w:r w:rsidRPr="00D2796E">
        <w:rPr>
          <w:rFonts w:ascii="Times New Roman" w:eastAsia="標楷體" w:hAnsi="Times New Roman" w:cs="Times New Roman"/>
          <w:color w:val="000000" w:themeColor="text1"/>
          <w:kern w:val="0"/>
        </w:rPr>
        <w:t>月</w:t>
      </w:r>
      <w:r w:rsidRPr="00D2796E">
        <w:rPr>
          <w:rFonts w:ascii="Times New Roman" w:eastAsia="標楷體" w:hAnsi="Times New Roman" w:cs="Times New Roman"/>
          <w:color w:val="000000" w:themeColor="text1"/>
          <w:kern w:val="0"/>
        </w:rPr>
        <w:t>6</w:t>
      </w:r>
      <w:r w:rsidRPr="00D2796E">
        <w:rPr>
          <w:rFonts w:ascii="Times New Roman" w:eastAsia="標楷體" w:hAnsi="Times New Roman" w:cs="Times New Roman" w:hint="eastAsia"/>
          <w:color w:val="000000" w:themeColor="text1"/>
          <w:szCs w:val="24"/>
        </w:rPr>
        <w:t>日桃園市政府性別平等會備查</w:t>
      </w:r>
    </w:p>
    <w:p w14:paraId="6DD337F2" w14:textId="77777777" w:rsidR="00A85A36" w:rsidRPr="00D2796E" w:rsidRDefault="00A85A36" w:rsidP="00A85A36">
      <w:pPr>
        <w:wordWrap w:val="0"/>
        <w:spacing w:line="320" w:lineRule="exact"/>
        <w:ind w:right="-1"/>
        <w:jc w:val="right"/>
        <w:rPr>
          <w:rFonts w:ascii="Times New Roman" w:eastAsia="標楷體" w:hAnsi="Times New Roman" w:cs="Times New Roman"/>
          <w:color w:val="000000" w:themeColor="text1"/>
        </w:rPr>
      </w:pPr>
      <w:r w:rsidRPr="00D2796E">
        <w:rPr>
          <w:rFonts w:ascii="Times New Roman" w:eastAsia="標楷體" w:hAnsi="Times New Roman" w:cs="Times New Roman"/>
          <w:color w:val="000000" w:themeColor="text1"/>
        </w:rPr>
        <w:t>11</w:t>
      </w:r>
      <w:r w:rsidRPr="00D2796E">
        <w:rPr>
          <w:rFonts w:ascii="Times New Roman" w:eastAsia="標楷體" w:hAnsi="Times New Roman" w:cs="Times New Roman" w:hint="eastAsia"/>
          <w:color w:val="000000" w:themeColor="text1"/>
        </w:rPr>
        <w:t>3</w:t>
      </w:r>
      <w:r w:rsidRPr="00D2796E">
        <w:rPr>
          <w:rFonts w:ascii="Times New Roman" w:eastAsia="標楷體" w:hAnsi="Times New Roman" w:cs="Times New Roman"/>
          <w:color w:val="000000" w:themeColor="text1"/>
        </w:rPr>
        <w:t>年</w:t>
      </w:r>
      <w:r w:rsidRPr="00D2796E">
        <w:rPr>
          <w:rFonts w:ascii="Times New Roman" w:eastAsia="標楷體" w:hAnsi="Times New Roman" w:cs="Times New Roman" w:hint="eastAsia"/>
          <w:color w:val="000000" w:themeColor="text1"/>
        </w:rPr>
        <w:t>4</w:t>
      </w:r>
      <w:r w:rsidRPr="00D2796E">
        <w:rPr>
          <w:rFonts w:ascii="Times New Roman" w:eastAsia="標楷體" w:hAnsi="Times New Roman" w:cs="Times New Roman"/>
          <w:color w:val="000000" w:themeColor="text1"/>
        </w:rPr>
        <w:t>月</w:t>
      </w:r>
      <w:r w:rsidRPr="00D2796E">
        <w:rPr>
          <w:rFonts w:ascii="Times New Roman" w:eastAsia="標楷體" w:hAnsi="Times New Roman" w:cs="Times New Roman" w:hint="eastAsia"/>
          <w:color w:val="000000" w:themeColor="text1"/>
        </w:rPr>
        <w:t>23</w:t>
      </w:r>
      <w:r w:rsidRPr="00D2796E">
        <w:rPr>
          <w:rFonts w:ascii="Times New Roman" w:eastAsia="標楷體" w:hAnsi="Times New Roman" w:cs="Times New Roman"/>
          <w:color w:val="000000" w:themeColor="text1"/>
        </w:rPr>
        <w:t>日桃園市政府農業局性別平等專責小組會議</w:t>
      </w:r>
      <w:r w:rsidRPr="00D2796E">
        <w:rPr>
          <w:rFonts w:ascii="Times New Roman" w:eastAsia="標楷體" w:hAnsi="Times New Roman" w:cs="Times New Roman" w:hint="eastAsia"/>
          <w:color w:val="000000" w:themeColor="text1"/>
        </w:rPr>
        <w:t>修正通過</w:t>
      </w:r>
    </w:p>
    <w:p w14:paraId="5B162EB5" w14:textId="77777777" w:rsidR="00A85A36" w:rsidRPr="00D2796E" w:rsidRDefault="00A85A36" w:rsidP="00A85A36">
      <w:pPr>
        <w:pStyle w:val="a3"/>
        <w:spacing w:line="320" w:lineRule="exact"/>
        <w:ind w:leftChars="0" w:left="482"/>
        <w:jc w:val="right"/>
        <w:rPr>
          <w:rFonts w:ascii="Times New Roman" w:eastAsia="標楷體" w:hAnsi="Times New Roman" w:cs="Times New Roman"/>
          <w:color w:val="000000" w:themeColor="text1"/>
          <w:szCs w:val="24"/>
        </w:rPr>
      </w:pPr>
      <w:r w:rsidRPr="00D2796E">
        <w:rPr>
          <w:rFonts w:ascii="Times New Roman" w:eastAsia="標楷體" w:hAnsi="Times New Roman" w:cs="Times New Roman" w:hint="eastAsia"/>
          <w:color w:val="000000" w:themeColor="text1"/>
          <w:szCs w:val="24"/>
        </w:rPr>
        <w:t>經</w:t>
      </w:r>
      <w:r w:rsidRPr="00D2796E">
        <w:rPr>
          <w:rFonts w:ascii="Times New Roman" w:eastAsia="標楷體" w:hAnsi="Times New Roman" w:cs="Times New Roman" w:hint="eastAsia"/>
          <w:color w:val="000000" w:themeColor="text1"/>
          <w:szCs w:val="24"/>
        </w:rPr>
        <w:t>113</w:t>
      </w:r>
      <w:r w:rsidRPr="00D2796E">
        <w:rPr>
          <w:rFonts w:ascii="Times New Roman" w:eastAsia="標楷體" w:hAnsi="Times New Roman" w:cs="Times New Roman" w:hint="eastAsia"/>
          <w:color w:val="000000" w:themeColor="text1"/>
          <w:szCs w:val="24"/>
        </w:rPr>
        <w:t>年</w:t>
      </w:r>
      <w:r w:rsidRPr="00D2796E">
        <w:rPr>
          <w:rFonts w:ascii="Times New Roman" w:eastAsia="標楷體" w:hAnsi="Times New Roman" w:cs="Times New Roman" w:hint="eastAsia"/>
          <w:color w:val="000000" w:themeColor="text1"/>
          <w:szCs w:val="24"/>
        </w:rPr>
        <w:t>6</w:t>
      </w:r>
      <w:r w:rsidRPr="00D2796E">
        <w:rPr>
          <w:rFonts w:ascii="Times New Roman" w:eastAsia="標楷體" w:hAnsi="Times New Roman" w:cs="Times New Roman"/>
          <w:color w:val="000000" w:themeColor="text1"/>
          <w:kern w:val="0"/>
        </w:rPr>
        <w:t>月</w:t>
      </w:r>
      <w:r w:rsidRPr="00D2796E">
        <w:rPr>
          <w:rFonts w:ascii="Times New Roman" w:eastAsia="標楷體" w:hAnsi="Times New Roman" w:cs="Times New Roman" w:hint="eastAsia"/>
          <w:color w:val="000000" w:themeColor="text1"/>
          <w:kern w:val="0"/>
        </w:rPr>
        <w:t>21</w:t>
      </w:r>
      <w:r w:rsidRPr="00D2796E">
        <w:rPr>
          <w:rFonts w:ascii="Times New Roman" w:eastAsia="標楷體" w:hAnsi="Times New Roman" w:cs="Times New Roman" w:hint="eastAsia"/>
          <w:color w:val="000000" w:themeColor="text1"/>
          <w:szCs w:val="24"/>
        </w:rPr>
        <w:t>日桃園市政府性別平等會備查</w:t>
      </w:r>
    </w:p>
    <w:p w14:paraId="7D0AAFE4" w14:textId="77777777" w:rsidR="00A85A36" w:rsidRPr="00D2796E" w:rsidRDefault="00A85A36" w:rsidP="00A85A36">
      <w:pPr>
        <w:pStyle w:val="a3"/>
        <w:spacing w:line="320" w:lineRule="exact"/>
        <w:ind w:leftChars="0" w:left="482"/>
        <w:jc w:val="right"/>
        <w:rPr>
          <w:rFonts w:ascii="Times New Roman" w:eastAsia="標楷體" w:hAnsi="Times New Roman" w:cs="Times New Roman"/>
          <w:color w:val="000000" w:themeColor="text1"/>
          <w:szCs w:val="24"/>
        </w:rPr>
      </w:pPr>
    </w:p>
    <w:p w14:paraId="1E0AAB60" w14:textId="77777777" w:rsidR="00A85A36" w:rsidRPr="00D2796E" w:rsidRDefault="00A85A36" w:rsidP="00A85A36">
      <w:pPr>
        <w:pStyle w:val="a3"/>
        <w:numPr>
          <w:ilvl w:val="0"/>
          <w:numId w:val="3"/>
        </w:numPr>
        <w:spacing w:line="400" w:lineRule="exact"/>
        <w:ind w:leftChars="0" w:left="480"/>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b/>
          <w:color w:val="000000" w:themeColor="text1"/>
          <w:sz w:val="28"/>
          <w:szCs w:val="28"/>
        </w:rPr>
        <w:t>依據：</w:t>
      </w:r>
      <w:r w:rsidRPr="00D2796E">
        <w:rPr>
          <w:rFonts w:ascii="Times New Roman" w:eastAsia="標楷體" w:hAnsi="Times New Roman" w:cs="Times New Roman"/>
          <w:color w:val="000000" w:themeColor="text1"/>
          <w:sz w:val="28"/>
          <w:szCs w:val="28"/>
        </w:rPr>
        <w:t>依</w:t>
      </w:r>
      <w:r w:rsidRPr="00D2796E">
        <w:rPr>
          <w:rFonts w:ascii="Times New Roman" w:eastAsia="標楷體" w:hAnsi="Times New Roman" w:cs="Times New Roman"/>
          <w:color w:val="000000" w:themeColor="text1"/>
          <w:sz w:val="28"/>
          <w:szCs w:val="28"/>
        </w:rPr>
        <w:t>112-115</w:t>
      </w:r>
      <w:r w:rsidRPr="00D2796E">
        <w:rPr>
          <w:rFonts w:ascii="Times New Roman" w:eastAsia="標楷體" w:hAnsi="Times New Roman" w:cs="Times New Roman"/>
          <w:color w:val="000000" w:themeColor="text1"/>
          <w:sz w:val="28"/>
          <w:szCs w:val="28"/>
        </w:rPr>
        <w:t>年桃園市政府推動各機關性別主流化實施計畫辦理。</w:t>
      </w:r>
    </w:p>
    <w:p w14:paraId="1A5D4AEF" w14:textId="77777777" w:rsidR="00A85A36" w:rsidRPr="00D2796E" w:rsidRDefault="00A85A36" w:rsidP="00A85A36">
      <w:pPr>
        <w:pStyle w:val="a3"/>
        <w:numPr>
          <w:ilvl w:val="0"/>
          <w:numId w:val="3"/>
        </w:numPr>
        <w:spacing w:line="400" w:lineRule="exact"/>
        <w:ind w:leftChars="0" w:left="480"/>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b/>
          <w:color w:val="000000" w:themeColor="text1"/>
          <w:sz w:val="28"/>
          <w:szCs w:val="28"/>
        </w:rPr>
        <w:t>計畫目標：</w:t>
      </w:r>
    </w:p>
    <w:p w14:paraId="08106A20" w14:textId="77777777" w:rsidR="00A85A36" w:rsidRPr="00D2796E" w:rsidRDefault="00A85A36" w:rsidP="00A85A36">
      <w:pPr>
        <w:pStyle w:val="1"/>
        <w:numPr>
          <w:ilvl w:val="0"/>
          <w:numId w:val="20"/>
        </w:numPr>
        <w:spacing w:line="400" w:lineRule="exact"/>
        <w:ind w:leftChars="0" w:left="709"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加強農業局</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以下簡稱本局</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各單位及所屬機關運用性別主流化各項工具，於制定法令、政策、方案計畫及資源分配時，納入性別觀點，以提升政策推動品質及成效。</w:t>
      </w:r>
    </w:p>
    <w:p w14:paraId="78C4030C" w14:textId="77777777" w:rsidR="00A85A36" w:rsidRPr="00D2796E" w:rsidRDefault="00A85A36" w:rsidP="00A85A36">
      <w:pPr>
        <w:pStyle w:val="1"/>
        <w:numPr>
          <w:ilvl w:val="0"/>
          <w:numId w:val="20"/>
        </w:numPr>
        <w:spacing w:line="400" w:lineRule="exact"/>
        <w:ind w:leftChars="0" w:left="709"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發展性別平等工作策略及具體措施，確實將性別平等概念融入業務中。</w:t>
      </w:r>
    </w:p>
    <w:p w14:paraId="12B5D0C2" w14:textId="77777777" w:rsidR="00A85A36" w:rsidRPr="00D2796E" w:rsidRDefault="00A85A36" w:rsidP="00A85A36">
      <w:pPr>
        <w:pStyle w:val="a3"/>
        <w:numPr>
          <w:ilvl w:val="0"/>
          <w:numId w:val="3"/>
        </w:numPr>
        <w:spacing w:line="400" w:lineRule="exact"/>
        <w:ind w:leftChars="0" w:left="556"/>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b/>
          <w:color w:val="000000" w:themeColor="text1"/>
          <w:sz w:val="28"/>
          <w:szCs w:val="28"/>
        </w:rPr>
        <w:t>實施對象：</w:t>
      </w:r>
      <w:r w:rsidRPr="00D2796E">
        <w:rPr>
          <w:rFonts w:ascii="Times New Roman" w:eastAsia="標楷體" w:hAnsi="Times New Roman" w:cs="Times New Roman"/>
          <w:color w:val="000000" w:themeColor="text1"/>
          <w:sz w:val="28"/>
          <w:szCs w:val="28"/>
        </w:rPr>
        <w:t>本局各</w:t>
      </w:r>
      <w:r w:rsidRPr="00D2796E">
        <w:rPr>
          <w:rFonts w:ascii="Times New Roman" w:eastAsia="標楷體" w:hAnsi="Times New Roman" w:cs="Times New Roman" w:hint="eastAsia"/>
          <w:color w:val="000000" w:themeColor="text1"/>
          <w:sz w:val="28"/>
          <w:szCs w:val="28"/>
        </w:rPr>
        <w:t>單位暨動物保護處</w:t>
      </w:r>
      <w:r w:rsidRPr="00D2796E">
        <w:rPr>
          <w:rFonts w:ascii="Times New Roman" w:eastAsia="標楷體" w:hAnsi="Times New Roman" w:cs="Times New Roman"/>
          <w:color w:val="000000" w:themeColor="text1"/>
          <w:sz w:val="28"/>
          <w:szCs w:val="28"/>
        </w:rPr>
        <w:t>。</w:t>
      </w:r>
    </w:p>
    <w:p w14:paraId="64165D71" w14:textId="77777777" w:rsidR="00A85A36" w:rsidRPr="00D2796E" w:rsidRDefault="00A85A36" w:rsidP="00A85A36">
      <w:pPr>
        <w:pStyle w:val="a3"/>
        <w:numPr>
          <w:ilvl w:val="0"/>
          <w:numId w:val="3"/>
        </w:numPr>
        <w:spacing w:line="400" w:lineRule="exact"/>
        <w:ind w:leftChars="0" w:left="556"/>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b/>
          <w:color w:val="000000" w:themeColor="text1"/>
          <w:sz w:val="28"/>
          <w:szCs w:val="28"/>
        </w:rPr>
        <w:t>實施期程：</w:t>
      </w:r>
      <w:r w:rsidRPr="00D2796E">
        <w:rPr>
          <w:rFonts w:ascii="Times New Roman" w:eastAsia="標楷體" w:hAnsi="Times New Roman" w:cs="Times New Roman"/>
          <w:color w:val="000000" w:themeColor="text1"/>
          <w:sz w:val="28"/>
          <w:szCs w:val="28"/>
        </w:rPr>
        <w:t>112</w:t>
      </w:r>
      <w:r w:rsidRPr="00D2796E">
        <w:rPr>
          <w:rFonts w:ascii="Times New Roman" w:eastAsia="標楷體" w:hAnsi="Times New Roman" w:cs="Times New Roman"/>
          <w:color w:val="000000" w:themeColor="text1"/>
          <w:sz w:val="28"/>
          <w:szCs w:val="28"/>
        </w:rPr>
        <w:t>年</w:t>
      </w:r>
      <w:r w:rsidRPr="00D2796E">
        <w:rPr>
          <w:rFonts w:ascii="Times New Roman" w:eastAsia="標楷體" w:hAnsi="Times New Roman" w:cs="Times New Roman"/>
          <w:color w:val="000000" w:themeColor="text1"/>
          <w:sz w:val="28"/>
          <w:szCs w:val="28"/>
        </w:rPr>
        <w:t>1</w:t>
      </w:r>
      <w:r w:rsidRPr="00D2796E">
        <w:rPr>
          <w:rFonts w:ascii="Times New Roman" w:eastAsia="標楷體" w:hAnsi="Times New Roman" w:cs="Times New Roman"/>
          <w:color w:val="000000" w:themeColor="text1"/>
          <w:sz w:val="28"/>
          <w:szCs w:val="28"/>
        </w:rPr>
        <w:t>月至</w:t>
      </w:r>
      <w:r w:rsidRPr="00D2796E">
        <w:rPr>
          <w:rFonts w:ascii="Times New Roman" w:eastAsia="標楷體" w:hAnsi="Times New Roman" w:cs="Times New Roman"/>
          <w:color w:val="000000" w:themeColor="text1"/>
          <w:sz w:val="28"/>
          <w:szCs w:val="28"/>
        </w:rPr>
        <w:t>115</w:t>
      </w:r>
      <w:r w:rsidRPr="00D2796E">
        <w:rPr>
          <w:rFonts w:ascii="Times New Roman" w:eastAsia="標楷體" w:hAnsi="Times New Roman" w:cs="Times New Roman"/>
          <w:color w:val="000000" w:themeColor="text1"/>
          <w:sz w:val="28"/>
          <w:szCs w:val="28"/>
        </w:rPr>
        <w:t>年</w:t>
      </w:r>
      <w:r w:rsidRPr="00D2796E">
        <w:rPr>
          <w:rFonts w:ascii="Times New Roman" w:eastAsia="標楷體" w:hAnsi="Times New Roman" w:cs="Times New Roman"/>
          <w:color w:val="000000" w:themeColor="text1"/>
          <w:sz w:val="28"/>
          <w:szCs w:val="28"/>
        </w:rPr>
        <w:t>12</w:t>
      </w:r>
      <w:r w:rsidRPr="00D2796E">
        <w:rPr>
          <w:rFonts w:ascii="Times New Roman" w:eastAsia="標楷體" w:hAnsi="Times New Roman" w:cs="Times New Roman"/>
          <w:color w:val="000000" w:themeColor="text1"/>
          <w:sz w:val="28"/>
          <w:szCs w:val="28"/>
        </w:rPr>
        <w:t>月。</w:t>
      </w:r>
    </w:p>
    <w:p w14:paraId="490BB661" w14:textId="77777777" w:rsidR="00A85A36" w:rsidRPr="00D2796E" w:rsidRDefault="00A85A36" w:rsidP="00A85A36">
      <w:pPr>
        <w:pStyle w:val="a3"/>
        <w:numPr>
          <w:ilvl w:val="0"/>
          <w:numId w:val="3"/>
        </w:numPr>
        <w:spacing w:line="400" w:lineRule="exact"/>
        <w:ind w:leftChars="0" w:left="556"/>
        <w:jc w:val="both"/>
        <w:rPr>
          <w:rFonts w:ascii="Times New Roman" w:eastAsia="標楷體" w:hAnsi="Times New Roman" w:cs="Times New Roman"/>
          <w:b/>
          <w:bCs/>
          <w:color w:val="000000" w:themeColor="text1"/>
          <w:sz w:val="28"/>
          <w:szCs w:val="28"/>
        </w:rPr>
      </w:pPr>
      <w:r w:rsidRPr="00D2796E">
        <w:rPr>
          <w:rFonts w:ascii="Times New Roman" w:eastAsia="標楷體" w:hAnsi="Times New Roman" w:cs="Times New Roman" w:hint="eastAsia"/>
          <w:b/>
          <w:bCs/>
          <w:color w:val="000000" w:themeColor="text1"/>
          <w:sz w:val="28"/>
          <w:szCs w:val="28"/>
        </w:rPr>
        <w:t>辦理單位：</w:t>
      </w:r>
    </w:p>
    <w:p w14:paraId="61608A84" w14:textId="77777777" w:rsidR="00A85A36" w:rsidRPr="00D2796E" w:rsidRDefault="00A85A36" w:rsidP="00A85A36">
      <w:pPr>
        <w:pStyle w:val="1"/>
        <w:numPr>
          <w:ilvl w:val="0"/>
          <w:numId w:val="24"/>
        </w:numPr>
        <w:tabs>
          <w:tab w:val="left" w:pos="709"/>
        </w:tabs>
        <w:spacing w:line="400" w:lineRule="exact"/>
        <w:ind w:leftChars="0" w:left="709"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b/>
          <w:color w:val="000000" w:themeColor="text1"/>
          <w:sz w:val="28"/>
          <w:szCs w:val="28"/>
        </w:rPr>
        <w:t>統籌規劃及管考單位：</w:t>
      </w:r>
      <w:r w:rsidRPr="00D2796E">
        <w:rPr>
          <w:rFonts w:ascii="Times New Roman" w:eastAsia="標楷體" w:hAnsi="Times New Roman" w:cs="Times New Roman" w:hint="eastAsia"/>
          <w:color w:val="000000" w:themeColor="text1"/>
          <w:sz w:val="28"/>
          <w:szCs w:val="28"/>
        </w:rPr>
        <w:t>秘書室。</w:t>
      </w:r>
    </w:p>
    <w:p w14:paraId="4FAEDDA4" w14:textId="77777777" w:rsidR="00A85A36" w:rsidRPr="00D2796E" w:rsidRDefault="00A85A36" w:rsidP="00A85A36">
      <w:pPr>
        <w:pStyle w:val="1"/>
        <w:numPr>
          <w:ilvl w:val="0"/>
          <w:numId w:val="24"/>
        </w:numPr>
        <w:tabs>
          <w:tab w:val="left" w:pos="709"/>
        </w:tabs>
        <w:spacing w:line="400" w:lineRule="exact"/>
        <w:ind w:leftChars="0" w:left="709" w:hanging="567"/>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hint="eastAsia"/>
          <w:b/>
          <w:color w:val="000000" w:themeColor="text1"/>
          <w:sz w:val="28"/>
          <w:szCs w:val="28"/>
        </w:rPr>
        <w:t>性別主流化工具主責管考單位：</w:t>
      </w:r>
    </w:p>
    <w:p w14:paraId="0279C7CE" w14:textId="77777777" w:rsidR="00A85A36" w:rsidRPr="00D2796E" w:rsidRDefault="00A85A36" w:rsidP="00A85A36">
      <w:pPr>
        <w:pStyle w:val="1"/>
        <w:numPr>
          <w:ilvl w:val="0"/>
          <w:numId w:val="25"/>
        </w:numPr>
        <w:tabs>
          <w:tab w:val="left" w:pos="709"/>
        </w:tabs>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color w:val="000000" w:themeColor="text1"/>
          <w:sz w:val="28"/>
          <w:szCs w:val="28"/>
        </w:rPr>
        <w:t>性別平等機制：秘書室。</w:t>
      </w:r>
    </w:p>
    <w:p w14:paraId="14F2DA8B" w14:textId="77777777" w:rsidR="00A85A36" w:rsidRPr="00D2796E" w:rsidRDefault="00A85A36" w:rsidP="00A85A36">
      <w:pPr>
        <w:pStyle w:val="1"/>
        <w:numPr>
          <w:ilvl w:val="0"/>
          <w:numId w:val="25"/>
        </w:numPr>
        <w:tabs>
          <w:tab w:val="left" w:pos="709"/>
        </w:tabs>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color w:val="000000" w:themeColor="text1"/>
          <w:sz w:val="28"/>
          <w:szCs w:val="28"/>
        </w:rPr>
        <w:t>性別意識培力：人事室。</w:t>
      </w:r>
    </w:p>
    <w:p w14:paraId="43B6BC86" w14:textId="77777777" w:rsidR="00A85A36" w:rsidRPr="00D2796E" w:rsidRDefault="00A85A36" w:rsidP="00A85A36">
      <w:pPr>
        <w:pStyle w:val="1"/>
        <w:numPr>
          <w:ilvl w:val="0"/>
          <w:numId w:val="25"/>
        </w:numPr>
        <w:tabs>
          <w:tab w:val="left" w:pos="709"/>
        </w:tabs>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color w:val="000000" w:themeColor="text1"/>
          <w:sz w:val="28"/>
          <w:szCs w:val="28"/>
        </w:rPr>
        <w:t>性別統計：會計室。</w:t>
      </w:r>
    </w:p>
    <w:p w14:paraId="546B29BC" w14:textId="77777777" w:rsidR="00A85A36" w:rsidRPr="00D2796E" w:rsidRDefault="00A85A36" w:rsidP="00A85A36">
      <w:pPr>
        <w:pStyle w:val="1"/>
        <w:numPr>
          <w:ilvl w:val="0"/>
          <w:numId w:val="25"/>
        </w:numPr>
        <w:tabs>
          <w:tab w:val="left" w:pos="709"/>
        </w:tabs>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color w:val="000000" w:themeColor="text1"/>
          <w:sz w:val="28"/>
          <w:szCs w:val="28"/>
        </w:rPr>
        <w:t>性別分析：會計室。</w:t>
      </w:r>
    </w:p>
    <w:p w14:paraId="2E2CEEF5" w14:textId="77777777" w:rsidR="00A85A36" w:rsidRPr="00D2796E" w:rsidRDefault="00A85A36" w:rsidP="00A85A36">
      <w:pPr>
        <w:pStyle w:val="1"/>
        <w:numPr>
          <w:ilvl w:val="0"/>
          <w:numId w:val="25"/>
        </w:numPr>
        <w:tabs>
          <w:tab w:val="left" w:pos="709"/>
        </w:tabs>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color w:val="000000" w:themeColor="text1"/>
          <w:sz w:val="28"/>
          <w:szCs w:val="28"/>
        </w:rPr>
        <w:t>性別影響評估：秘書室。</w:t>
      </w:r>
    </w:p>
    <w:p w14:paraId="0CD808CB" w14:textId="77777777" w:rsidR="00A85A36" w:rsidRPr="00D2796E" w:rsidRDefault="00A85A36" w:rsidP="00A85A36">
      <w:pPr>
        <w:pStyle w:val="1"/>
        <w:numPr>
          <w:ilvl w:val="0"/>
          <w:numId w:val="25"/>
        </w:numPr>
        <w:tabs>
          <w:tab w:val="left" w:pos="709"/>
        </w:tabs>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color w:val="000000" w:themeColor="text1"/>
          <w:sz w:val="28"/>
          <w:szCs w:val="28"/>
        </w:rPr>
        <w:t>性別預算：會計室。</w:t>
      </w:r>
    </w:p>
    <w:p w14:paraId="56D61AC7" w14:textId="77777777" w:rsidR="00A85A36" w:rsidRPr="00D2796E" w:rsidRDefault="00A85A36" w:rsidP="00A85A36">
      <w:pPr>
        <w:pStyle w:val="1"/>
        <w:numPr>
          <w:ilvl w:val="0"/>
          <w:numId w:val="24"/>
        </w:numPr>
        <w:tabs>
          <w:tab w:val="left" w:pos="709"/>
        </w:tabs>
        <w:spacing w:line="400" w:lineRule="exact"/>
        <w:ind w:leftChars="0" w:left="709"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b/>
          <w:color w:val="000000" w:themeColor="text1"/>
          <w:sz w:val="28"/>
          <w:szCs w:val="28"/>
        </w:rPr>
        <w:t>推展及落實性別平等與</w:t>
      </w:r>
      <w:r w:rsidRPr="00D2796E">
        <w:rPr>
          <w:rFonts w:ascii="Times New Roman" w:eastAsia="標楷體" w:hAnsi="Times New Roman" w:cs="Times New Roman" w:hint="eastAsia"/>
          <w:b/>
          <w:color w:val="000000" w:themeColor="text1"/>
          <w:sz w:val="28"/>
          <w:szCs w:val="28"/>
        </w:rPr>
        <w:t>CEDAW</w:t>
      </w:r>
      <w:r w:rsidRPr="00D2796E">
        <w:rPr>
          <w:rFonts w:ascii="Times New Roman" w:eastAsia="標楷體" w:hAnsi="Times New Roman" w:cs="Times New Roman" w:hint="eastAsia"/>
          <w:b/>
          <w:color w:val="000000" w:themeColor="text1"/>
          <w:sz w:val="28"/>
          <w:szCs w:val="28"/>
        </w:rPr>
        <w:t>方案主責管考單位：</w:t>
      </w:r>
      <w:r w:rsidRPr="00D2796E">
        <w:rPr>
          <w:rFonts w:ascii="Times New Roman" w:eastAsia="標楷體" w:hAnsi="Times New Roman" w:cs="Times New Roman" w:hint="eastAsia"/>
          <w:color w:val="000000" w:themeColor="text1"/>
          <w:sz w:val="28"/>
          <w:szCs w:val="28"/>
        </w:rPr>
        <w:t>秘書室。</w:t>
      </w:r>
    </w:p>
    <w:p w14:paraId="6ECE259F" w14:textId="77777777" w:rsidR="00A85A36" w:rsidRPr="00D2796E" w:rsidRDefault="00A85A36" w:rsidP="00A85A36">
      <w:pPr>
        <w:pStyle w:val="1"/>
        <w:numPr>
          <w:ilvl w:val="0"/>
          <w:numId w:val="24"/>
        </w:numPr>
        <w:tabs>
          <w:tab w:val="left" w:pos="709"/>
        </w:tabs>
        <w:spacing w:line="400" w:lineRule="exact"/>
        <w:ind w:leftChars="0" w:left="709"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b/>
          <w:color w:val="000000" w:themeColor="text1"/>
          <w:sz w:val="28"/>
          <w:szCs w:val="28"/>
        </w:rPr>
        <w:t>執行推動單位：</w:t>
      </w:r>
      <w:r w:rsidRPr="00D2796E">
        <w:rPr>
          <w:rFonts w:ascii="Times New Roman" w:eastAsia="標楷體" w:hAnsi="Times New Roman" w:cs="Times New Roman" w:hint="eastAsia"/>
          <w:color w:val="000000" w:themeColor="text1"/>
          <w:sz w:val="28"/>
          <w:szCs w:val="28"/>
        </w:rPr>
        <w:t>本局各單位暨動物保護處。</w:t>
      </w:r>
    </w:p>
    <w:p w14:paraId="75864316" w14:textId="77777777" w:rsidR="00A85A36" w:rsidRPr="00D2796E" w:rsidRDefault="00A85A36" w:rsidP="00A85A36">
      <w:pPr>
        <w:pStyle w:val="a3"/>
        <w:numPr>
          <w:ilvl w:val="0"/>
          <w:numId w:val="3"/>
        </w:numPr>
        <w:spacing w:line="400" w:lineRule="exact"/>
        <w:ind w:leftChars="0" w:left="556"/>
        <w:jc w:val="both"/>
        <w:rPr>
          <w:rFonts w:ascii="Times New Roman" w:eastAsia="標楷體" w:hAnsi="Times New Roman" w:cs="Times New Roman"/>
          <w:b/>
          <w:bCs/>
          <w:color w:val="000000" w:themeColor="text1"/>
          <w:sz w:val="28"/>
          <w:szCs w:val="28"/>
        </w:rPr>
      </w:pPr>
      <w:r w:rsidRPr="00D2796E">
        <w:rPr>
          <w:rFonts w:ascii="Times New Roman" w:eastAsia="標楷體" w:hAnsi="Times New Roman" w:cs="Times New Roman"/>
          <w:b/>
          <w:bCs/>
          <w:color w:val="000000" w:themeColor="text1"/>
          <w:sz w:val="28"/>
          <w:szCs w:val="28"/>
        </w:rPr>
        <w:t>推動機制：</w:t>
      </w:r>
    </w:p>
    <w:p w14:paraId="3AC8ACC9" w14:textId="77777777" w:rsidR="00A85A36" w:rsidRPr="00D2796E" w:rsidRDefault="00A85A36" w:rsidP="00A85A36">
      <w:pPr>
        <w:pStyle w:val="a3"/>
        <w:numPr>
          <w:ilvl w:val="0"/>
          <w:numId w:val="4"/>
        </w:numPr>
        <w:spacing w:line="400" w:lineRule="exact"/>
        <w:ind w:leftChars="0" w:left="709"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性別平等工作團隊：</w:t>
      </w:r>
      <w:r w:rsidRPr="00D2796E">
        <w:rPr>
          <w:rFonts w:eastAsia="標楷體"/>
          <w:color w:val="000000" w:themeColor="text1"/>
          <w:sz w:val="28"/>
          <w:szCs w:val="28"/>
        </w:rPr>
        <w:t>本局副局長擔任性別平等督導；秘書室主任擔任議題聯絡人；秘書室性別平等業務承辦人員擔任性別議題代理人，負責農業局性別主流化業務聯繫窗口</w:t>
      </w:r>
      <w:r w:rsidRPr="00D2796E">
        <w:rPr>
          <w:rFonts w:ascii="Times New Roman" w:eastAsia="標楷體" w:hAnsi="Times New Roman" w:cs="Times New Roman"/>
          <w:color w:val="000000" w:themeColor="text1"/>
          <w:sz w:val="28"/>
          <w:szCs w:val="28"/>
        </w:rPr>
        <w:t>。</w:t>
      </w:r>
    </w:p>
    <w:p w14:paraId="3F99765C" w14:textId="77777777" w:rsidR="00A85A36" w:rsidRPr="00D2796E" w:rsidRDefault="00A85A36" w:rsidP="00A85A36">
      <w:pPr>
        <w:pStyle w:val="a3"/>
        <w:numPr>
          <w:ilvl w:val="0"/>
          <w:numId w:val="4"/>
        </w:numPr>
        <w:spacing w:line="400" w:lineRule="exact"/>
        <w:ind w:leftChars="0" w:left="709"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性別平等專責小組</w:t>
      </w:r>
    </w:p>
    <w:p w14:paraId="7D5E6B01" w14:textId="77777777" w:rsidR="00A85A36" w:rsidRPr="00D2796E" w:rsidRDefault="00A85A36" w:rsidP="00A85A36">
      <w:pPr>
        <w:pStyle w:val="a3"/>
        <w:numPr>
          <w:ilvl w:val="1"/>
          <w:numId w:val="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召集人：副局長。</w:t>
      </w:r>
    </w:p>
    <w:p w14:paraId="2A3BFF6C" w14:textId="77777777" w:rsidR="00A85A36" w:rsidRPr="00D2796E" w:rsidRDefault="00A85A36" w:rsidP="00A85A36">
      <w:pPr>
        <w:pStyle w:val="a3"/>
        <w:numPr>
          <w:ilvl w:val="1"/>
          <w:numId w:val="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成員：主任秘書</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兼副召集人</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、專門委員、各科室主管、所屬機關首長、性別議題聯絡人及外聘民間委員</w:t>
      </w:r>
      <w:r w:rsidRPr="00D2796E">
        <w:rPr>
          <w:rFonts w:ascii="Times New Roman" w:eastAsia="標楷體" w:hAnsi="Times New Roman" w:cs="Times New Roman"/>
          <w:color w:val="000000" w:themeColor="text1"/>
          <w:sz w:val="28"/>
          <w:szCs w:val="28"/>
        </w:rPr>
        <w:t>2</w:t>
      </w:r>
      <w:r w:rsidRPr="00D2796E">
        <w:rPr>
          <w:rFonts w:ascii="Times New Roman" w:eastAsia="標楷體" w:hAnsi="Times New Roman" w:cs="Times New Roman"/>
          <w:color w:val="000000" w:themeColor="text1"/>
          <w:sz w:val="28"/>
          <w:szCs w:val="28"/>
        </w:rPr>
        <w:t>人</w:t>
      </w:r>
      <w:r w:rsidRPr="00D2796E">
        <w:rPr>
          <w:rFonts w:ascii="Times New Roman" w:eastAsia="標楷體" w:hAnsi="Times New Roman" w:cs="Times New Roman" w:hint="eastAsia"/>
          <w:color w:val="000000" w:themeColor="text1"/>
          <w:sz w:val="28"/>
          <w:szCs w:val="28"/>
        </w:rPr>
        <w:t>，</w:t>
      </w:r>
      <w:r w:rsidRPr="00D2796E">
        <w:rPr>
          <w:rFonts w:ascii="Times New Roman" w:eastAsia="標楷體" w:hAnsi="Times New Roman" w:cs="Times New Roman"/>
          <w:color w:val="000000" w:themeColor="text1"/>
          <w:sz w:val="28"/>
          <w:szCs w:val="28"/>
        </w:rPr>
        <w:t>其中</w:t>
      </w:r>
      <w:r w:rsidRPr="00D2796E">
        <w:rPr>
          <w:rFonts w:ascii="Times New Roman" w:eastAsia="標楷體" w:hAnsi="Times New Roman" w:cs="Times New Roman"/>
          <w:color w:val="000000" w:themeColor="text1"/>
          <w:sz w:val="28"/>
          <w:szCs w:val="28"/>
        </w:rPr>
        <w:t>1</w:t>
      </w:r>
      <w:r w:rsidRPr="00D2796E">
        <w:rPr>
          <w:rFonts w:ascii="Times New Roman" w:eastAsia="標楷體" w:hAnsi="Times New Roman" w:cs="Times New Roman"/>
          <w:color w:val="000000" w:themeColor="text1"/>
          <w:sz w:val="28"/>
          <w:szCs w:val="28"/>
        </w:rPr>
        <w:t>人</w:t>
      </w:r>
      <w:r w:rsidRPr="00D2796E">
        <w:rPr>
          <w:rFonts w:eastAsia="標楷體" w:hint="eastAsia"/>
          <w:color w:val="000000" w:themeColor="text1"/>
          <w:sz w:val="28"/>
          <w:szCs w:val="28"/>
        </w:rPr>
        <w:t>至少</w:t>
      </w:r>
      <w:r w:rsidRPr="00D2796E">
        <w:rPr>
          <w:rFonts w:ascii="Times New Roman" w:eastAsia="標楷體" w:hAnsi="Times New Roman" w:cs="Times New Roman"/>
          <w:color w:val="000000" w:themeColor="text1"/>
          <w:sz w:val="28"/>
          <w:szCs w:val="28"/>
        </w:rPr>
        <w:t>為現任或曾任性平會外聘委員</w:t>
      </w:r>
      <w:r w:rsidRPr="00D2796E">
        <w:rPr>
          <w:rFonts w:eastAsia="標楷體" w:hint="eastAsia"/>
          <w:color w:val="000000" w:themeColor="text1"/>
          <w:sz w:val="28"/>
          <w:szCs w:val="28"/>
        </w:rPr>
        <w:t>，及本府其他具性別平等資歷人員，共同成立小組。</w:t>
      </w:r>
    </w:p>
    <w:p w14:paraId="5AC2A807" w14:textId="77777777" w:rsidR="00A85A36" w:rsidRPr="00D2796E" w:rsidRDefault="00A85A36" w:rsidP="00A85A36">
      <w:pPr>
        <w:pStyle w:val="a3"/>
        <w:numPr>
          <w:ilvl w:val="1"/>
          <w:numId w:val="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eastAsia="標楷體" w:hint="eastAsia"/>
          <w:color w:val="000000" w:themeColor="text1"/>
          <w:sz w:val="28"/>
          <w:szCs w:val="28"/>
        </w:rPr>
        <w:t>性別平等專責小組委員</w:t>
      </w:r>
      <w:r w:rsidRPr="00D2796E">
        <w:rPr>
          <w:rFonts w:ascii="Times New Roman" w:eastAsia="標楷體" w:hAnsi="Times New Roman" w:cs="Times New Roman"/>
          <w:color w:val="000000" w:themeColor="text1"/>
          <w:sz w:val="28"/>
          <w:szCs w:val="28"/>
        </w:rPr>
        <w:t>須符合</w:t>
      </w:r>
      <w:r w:rsidRPr="00D2796E">
        <w:rPr>
          <w:rFonts w:ascii="Times New Roman" w:eastAsia="標楷體" w:hAnsi="Times New Roman" w:cs="Times New Roman"/>
          <w:color w:val="000000" w:themeColor="text1"/>
          <w:sz w:val="28"/>
          <w:szCs w:val="28"/>
        </w:rPr>
        <w:t>1/3</w:t>
      </w:r>
      <w:r w:rsidRPr="00D2796E">
        <w:rPr>
          <w:rFonts w:ascii="Times New Roman" w:eastAsia="標楷體" w:hAnsi="Times New Roman" w:cs="Times New Roman"/>
          <w:color w:val="000000" w:themeColor="text1"/>
          <w:sz w:val="28"/>
          <w:szCs w:val="28"/>
        </w:rPr>
        <w:t>性別比例原則，並朝</w:t>
      </w:r>
      <w:r w:rsidRPr="00D2796E">
        <w:rPr>
          <w:rFonts w:ascii="Times New Roman" w:eastAsia="標楷體" w:hAnsi="Times New Roman" w:cs="Times New Roman"/>
          <w:color w:val="000000" w:themeColor="text1"/>
          <w:sz w:val="28"/>
          <w:szCs w:val="28"/>
        </w:rPr>
        <w:t>40</w:t>
      </w:r>
      <w:r w:rsidRPr="00D2796E">
        <w:rPr>
          <w:rFonts w:ascii="Times New Roman" w:eastAsia="標楷體" w:hAnsi="Times New Roman" w:cs="Times New Roman"/>
          <w:color w:val="000000" w:themeColor="text1"/>
          <w:sz w:val="28"/>
          <w:szCs w:val="28"/>
        </w:rPr>
        <w:t>％邁進。</w:t>
      </w:r>
    </w:p>
    <w:p w14:paraId="78B4ED8E" w14:textId="77777777" w:rsidR="00A85A36" w:rsidRPr="00D2796E" w:rsidRDefault="00A85A36" w:rsidP="00A85A36">
      <w:pPr>
        <w:pStyle w:val="a3"/>
        <w:numPr>
          <w:ilvl w:val="1"/>
          <w:numId w:val="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lastRenderedPageBreak/>
        <w:t>任務：</w:t>
      </w:r>
    </w:p>
    <w:p w14:paraId="500A58B2" w14:textId="77777777" w:rsidR="00A85A36" w:rsidRPr="00D2796E" w:rsidRDefault="00A85A36" w:rsidP="00A85A36">
      <w:pPr>
        <w:pStyle w:val="2"/>
        <w:numPr>
          <w:ilvl w:val="0"/>
          <w:numId w:val="35"/>
        </w:numPr>
        <w:spacing w:line="400" w:lineRule="exact"/>
        <w:ind w:leftChars="0" w:left="851" w:hanging="284"/>
        <w:jc w:val="both"/>
        <w:rPr>
          <w:rFonts w:eastAsia="標楷體"/>
          <w:color w:val="000000" w:themeColor="text1"/>
          <w:sz w:val="28"/>
          <w:szCs w:val="28"/>
        </w:rPr>
      </w:pPr>
      <w:bookmarkStart w:id="1" w:name="_Hlk114134446"/>
      <w:r w:rsidRPr="00D2796E">
        <w:rPr>
          <w:rFonts w:eastAsia="標楷體"/>
          <w:color w:val="000000" w:themeColor="text1"/>
          <w:sz w:val="28"/>
          <w:szCs w:val="28"/>
        </w:rPr>
        <w:t>配合本府各項性別主流化計畫之推動，並運用各項工具推動機關性別平等工作重點業務。</w:t>
      </w:r>
    </w:p>
    <w:p w14:paraId="37F98519" w14:textId="77777777" w:rsidR="00A85A36" w:rsidRPr="00D2796E" w:rsidRDefault="00A85A36" w:rsidP="00A85A36">
      <w:pPr>
        <w:pStyle w:val="2"/>
        <w:numPr>
          <w:ilvl w:val="0"/>
          <w:numId w:val="35"/>
        </w:numPr>
        <w:spacing w:line="400" w:lineRule="exact"/>
        <w:ind w:leftChars="0" w:left="851" w:hanging="284"/>
        <w:jc w:val="both"/>
        <w:rPr>
          <w:rFonts w:eastAsia="標楷體"/>
          <w:color w:val="000000" w:themeColor="text1"/>
          <w:sz w:val="28"/>
          <w:szCs w:val="28"/>
        </w:rPr>
      </w:pPr>
      <w:r w:rsidRPr="00D2796E">
        <w:rPr>
          <w:rFonts w:eastAsia="標楷體"/>
          <w:color w:val="000000" w:themeColor="text1"/>
          <w:sz w:val="28"/>
          <w:szCs w:val="28"/>
        </w:rPr>
        <w:t>協助機關訂定性別主流化實施計畫與年度成果報告之審核，並</w:t>
      </w:r>
      <w:proofErr w:type="gramStart"/>
      <w:r w:rsidRPr="00D2796E">
        <w:rPr>
          <w:rFonts w:eastAsia="標楷體"/>
          <w:color w:val="000000" w:themeColor="text1"/>
          <w:sz w:val="28"/>
          <w:szCs w:val="28"/>
        </w:rPr>
        <w:t>賡</w:t>
      </w:r>
      <w:proofErr w:type="gramEnd"/>
      <w:r w:rsidRPr="00D2796E">
        <w:rPr>
          <w:rFonts w:eastAsia="標楷體"/>
          <w:color w:val="000000" w:themeColor="text1"/>
          <w:sz w:val="28"/>
          <w:szCs w:val="28"/>
        </w:rPr>
        <w:t>續推動性別主流化各項工具，以提升推動品質及擴大成效。</w:t>
      </w:r>
    </w:p>
    <w:p w14:paraId="7A73E127" w14:textId="77777777" w:rsidR="00A85A36" w:rsidRPr="00D2796E" w:rsidRDefault="00A85A36" w:rsidP="00A85A36">
      <w:pPr>
        <w:pStyle w:val="2"/>
        <w:numPr>
          <w:ilvl w:val="0"/>
          <w:numId w:val="35"/>
        </w:numPr>
        <w:spacing w:line="400" w:lineRule="exact"/>
        <w:ind w:leftChars="0" w:left="851" w:hanging="284"/>
        <w:jc w:val="both"/>
        <w:rPr>
          <w:rFonts w:eastAsia="標楷體"/>
          <w:color w:val="000000" w:themeColor="text1"/>
          <w:sz w:val="28"/>
          <w:szCs w:val="28"/>
        </w:rPr>
      </w:pPr>
      <w:r w:rsidRPr="00D2796E">
        <w:rPr>
          <w:rFonts w:eastAsia="標楷體"/>
          <w:color w:val="000000" w:themeColor="text1"/>
          <w:sz w:val="28"/>
          <w:szCs w:val="28"/>
        </w:rPr>
        <w:t>其他性別平等促進事宜。</w:t>
      </w:r>
    </w:p>
    <w:p w14:paraId="4A918389" w14:textId="77777777" w:rsidR="00A85A36" w:rsidRPr="00D2796E" w:rsidRDefault="00A85A36" w:rsidP="00A85A36">
      <w:pPr>
        <w:pStyle w:val="a3"/>
        <w:numPr>
          <w:ilvl w:val="1"/>
          <w:numId w:val="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運作方式：</w:t>
      </w:r>
    </w:p>
    <w:p w14:paraId="4B700E0A" w14:textId="77777777" w:rsidR="00A85A36" w:rsidRPr="00D2796E" w:rsidRDefault="00A85A36" w:rsidP="00A85A36">
      <w:pPr>
        <w:pStyle w:val="2"/>
        <w:numPr>
          <w:ilvl w:val="0"/>
          <w:numId w:val="21"/>
        </w:numPr>
        <w:spacing w:line="400" w:lineRule="exact"/>
        <w:ind w:leftChars="0" w:left="851" w:hanging="284"/>
        <w:jc w:val="both"/>
        <w:rPr>
          <w:rFonts w:eastAsia="標楷體"/>
          <w:color w:val="000000" w:themeColor="text1"/>
          <w:sz w:val="28"/>
          <w:szCs w:val="28"/>
        </w:rPr>
      </w:pPr>
      <w:r w:rsidRPr="00D2796E">
        <w:rPr>
          <w:rFonts w:eastAsia="標楷體"/>
          <w:color w:val="000000" w:themeColor="text1"/>
          <w:sz w:val="28"/>
          <w:szCs w:val="28"/>
        </w:rPr>
        <w:t>以每半年召開</w:t>
      </w:r>
      <w:r w:rsidRPr="00D2796E">
        <w:rPr>
          <w:rFonts w:eastAsia="標楷體"/>
          <w:color w:val="000000" w:themeColor="text1"/>
          <w:sz w:val="28"/>
          <w:szCs w:val="28"/>
        </w:rPr>
        <w:t>1</w:t>
      </w:r>
      <w:r w:rsidRPr="00D2796E">
        <w:rPr>
          <w:rFonts w:eastAsia="標楷體"/>
          <w:color w:val="000000" w:themeColor="text1"/>
          <w:sz w:val="28"/>
          <w:szCs w:val="28"/>
        </w:rPr>
        <w:t>次會議為原則，每次會議至少需有半數以上外聘民間委員出席與會始得為有效會議，上半年於</w:t>
      </w:r>
      <w:r w:rsidRPr="00D2796E">
        <w:rPr>
          <w:rFonts w:eastAsia="標楷體"/>
          <w:color w:val="000000" w:themeColor="text1"/>
          <w:sz w:val="28"/>
          <w:szCs w:val="28"/>
        </w:rPr>
        <w:t>4</w:t>
      </w:r>
      <w:r w:rsidRPr="00D2796E">
        <w:rPr>
          <w:rFonts w:eastAsia="標楷體"/>
          <w:color w:val="000000" w:themeColor="text1"/>
          <w:sz w:val="28"/>
          <w:szCs w:val="28"/>
        </w:rPr>
        <w:t>月底前召開完竣，下半年於</w:t>
      </w:r>
      <w:r w:rsidRPr="00D2796E">
        <w:rPr>
          <w:rFonts w:eastAsia="標楷體"/>
          <w:color w:val="000000" w:themeColor="text1"/>
          <w:sz w:val="28"/>
          <w:szCs w:val="28"/>
        </w:rPr>
        <w:t>10</w:t>
      </w:r>
      <w:r w:rsidRPr="00D2796E">
        <w:rPr>
          <w:rFonts w:eastAsia="標楷體"/>
          <w:color w:val="000000" w:themeColor="text1"/>
          <w:sz w:val="28"/>
          <w:szCs w:val="28"/>
        </w:rPr>
        <w:t>月底前召開完竣，並提報性別主流化推動組備查。</w:t>
      </w:r>
    </w:p>
    <w:p w14:paraId="24D7655C" w14:textId="77777777" w:rsidR="00A85A36" w:rsidRPr="00D2796E" w:rsidRDefault="00A85A36" w:rsidP="00A85A36">
      <w:pPr>
        <w:pStyle w:val="2"/>
        <w:numPr>
          <w:ilvl w:val="0"/>
          <w:numId w:val="21"/>
        </w:numPr>
        <w:spacing w:line="400" w:lineRule="exact"/>
        <w:ind w:leftChars="0" w:left="851" w:hanging="284"/>
        <w:jc w:val="both"/>
        <w:rPr>
          <w:rFonts w:eastAsia="標楷體"/>
          <w:color w:val="000000" w:themeColor="text1"/>
          <w:sz w:val="28"/>
          <w:szCs w:val="28"/>
        </w:rPr>
      </w:pPr>
      <w:r w:rsidRPr="00D2796E">
        <w:rPr>
          <w:rFonts w:eastAsia="標楷體"/>
          <w:color w:val="000000" w:themeColor="text1"/>
          <w:sz w:val="28"/>
          <w:szCs w:val="28"/>
        </w:rPr>
        <w:t>機關得視需要召開臨時會議。</w:t>
      </w:r>
    </w:p>
    <w:bookmarkEnd w:id="1"/>
    <w:p w14:paraId="76583816" w14:textId="77777777" w:rsidR="00A85A36" w:rsidRPr="00D2796E" w:rsidRDefault="00A85A36" w:rsidP="00A85A36">
      <w:pPr>
        <w:pStyle w:val="a3"/>
        <w:numPr>
          <w:ilvl w:val="0"/>
          <w:numId w:val="3"/>
        </w:numPr>
        <w:spacing w:line="400" w:lineRule="exact"/>
        <w:ind w:leftChars="0" w:left="556"/>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hint="eastAsia"/>
          <w:b/>
          <w:color w:val="000000" w:themeColor="text1"/>
          <w:sz w:val="28"/>
          <w:szCs w:val="28"/>
        </w:rPr>
        <w:t>實施策略與措施：</w:t>
      </w:r>
    </w:p>
    <w:p w14:paraId="316C90A4" w14:textId="77777777" w:rsidR="00A85A36" w:rsidRPr="00D2796E" w:rsidRDefault="00A85A36" w:rsidP="00A85A36">
      <w:pPr>
        <w:pStyle w:val="2"/>
        <w:numPr>
          <w:ilvl w:val="0"/>
          <w:numId w:val="26"/>
        </w:numPr>
        <w:spacing w:line="400" w:lineRule="exact"/>
        <w:ind w:leftChars="0" w:left="709" w:hanging="567"/>
        <w:jc w:val="both"/>
        <w:rPr>
          <w:rFonts w:eastAsia="標楷體"/>
          <w:b/>
          <w:color w:val="000000" w:themeColor="text1"/>
          <w:sz w:val="28"/>
          <w:szCs w:val="28"/>
        </w:rPr>
      </w:pPr>
      <w:r w:rsidRPr="00D2796E">
        <w:rPr>
          <w:rFonts w:eastAsia="標楷體"/>
          <w:b/>
          <w:color w:val="000000" w:themeColor="text1"/>
          <w:sz w:val="28"/>
          <w:szCs w:val="28"/>
        </w:rPr>
        <w:t>計畫</w:t>
      </w:r>
      <w:r w:rsidRPr="00D2796E">
        <w:rPr>
          <w:rFonts w:eastAsia="標楷體" w:hint="eastAsia"/>
          <w:b/>
          <w:color w:val="000000" w:themeColor="text1"/>
          <w:sz w:val="28"/>
          <w:szCs w:val="28"/>
        </w:rPr>
        <w:t>擬定</w:t>
      </w:r>
      <w:r w:rsidRPr="00D2796E">
        <w:rPr>
          <w:rFonts w:eastAsia="標楷體"/>
          <w:b/>
          <w:color w:val="000000" w:themeColor="text1"/>
          <w:sz w:val="28"/>
          <w:szCs w:val="28"/>
        </w:rPr>
        <w:t>及評估年度成果</w:t>
      </w:r>
    </w:p>
    <w:p w14:paraId="2CF5A5BE" w14:textId="77777777" w:rsidR="00A85A36" w:rsidRPr="00D2796E" w:rsidRDefault="00A85A36" w:rsidP="00A85A36">
      <w:pPr>
        <w:pStyle w:val="2"/>
        <w:numPr>
          <w:ilvl w:val="1"/>
          <w:numId w:val="27"/>
        </w:numPr>
        <w:spacing w:line="400" w:lineRule="exact"/>
        <w:ind w:leftChars="0" w:left="851" w:hanging="567"/>
        <w:jc w:val="both"/>
        <w:rPr>
          <w:rFonts w:eastAsia="標楷體"/>
          <w:color w:val="000000" w:themeColor="text1"/>
          <w:sz w:val="28"/>
          <w:szCs w:val="28"/>
        </w:rPr>
      </w:pPr>
      <w:r w:rsidRPr="00D2796E">
        <w:rPr>
          <w:rFonts w:eastAsia="標楷體"/>
          <w:color w:val="000000" w:themeColor="text1"/>
          <w:sz w:val="28"/>
          <w:szCs w:val="28"/>
        </w:rPr>
        <w:t>擬訂計畫：依據</w:t>
      </w:r>
      <w:r w:rsidRPr="00D2796E">
        <w:rPr>
          <w:rFonts w:eastAsia="標楷體" w:hint="eastAsia"/>
          <w:color w:val="000000" w:themeColor="text1"/>
          <w:sz w:val="28"/>
          <w:szCs w:val="28"/>
        </w:rPr>
        <w:t>「</w:t>
      </w:r>
      <w:r w:rsidRPr="00D2796E">
        <w:rPr>
          <w:rFonts w:eastAsia="標楷體" w:hint="eastAsia"/>
          <w:color w:val="000000" w:themeColor="text1"/>
          <w:sz w:val="28"/>
          <w:szCs w:val="28"/>
        </w:rPr>
        <w:t>112-115</w:t>
      </w:r>
      <w:r w:rsidRPr="00D2796E">
        <w:rPr>
          <w:rFonts w:eastAsia="標楷體" w:hint="eastAsia"/>
          <w:color w:val="000000" w:themeColor="text1"/>
          <w:sz w:val="28"/>
          <w:szCs w:val="28"/>
        </w:rPr>
        <w:t>年桃園市政府推動各機關性別主流化實施計畫」</w:t>
      </w:r>
      <w:r w:rsidRPr="00D2796E">
        <w:rPr>
          <w:rFonts w:eastAsia="標楷體"/>
          <w:color w:val="000000" w:themeColor="text1"/>
          <w:sz w:val="28"/>
          <w:szCs w:val="28"/>
        </w:rPr>
        <w:t>，擬訂</w:t>
      </w:r>
      <w:r w:rsidRPr="00D2796E">
        <w:rPr>
          <w:rFonts w:eastAsia="標楷體"/>
          <w:color w:val="000000" w:themeColor="text1"/>
          <w:sz w:val="28"/>
          <w:szCs w:val="28"/>
        </w:rPr>
        <w:t>4</w:t>
      </w:r>
      <w:r w:rsidRPr="00D2796E">
        <w:rPr>
          <w:rFonts w:eastAsia="標楷體"/>
          <w:color w:val="000000" w:themeColor="text1"/>
          <w:sz w:val="28"/>
          <w:szCs w:val="28"/>
        </w:rPr>
        <w:t>年</w:t>
      </w:r>
      <w:r w:rsidRPr="00D2796E">
        <w:rPr>
          <w:rFonts w:eastAsia="標楷體"/>
          <w:color w:val="000000" w:themeColor="text1"/>
          <w:sz w:val="28"/>
          <w:szCs w:val="28"/>
        </w:rPr>
        <w:t>(1</w:t>
      </w:r>
      <w:r w:rsidRPr="00D2796E">
        <w:rPr>
          <w:rFonts w:eastAsia="標楷體" w:hint="eastAsia"/>
          <w:color w:val="000000" w:themeColor="text1"/>
          <w:sz w:val="28"/>
          <w:szCs w:val="28"/>
        </w:rPr>
        <w:t>1</w:t>
      </w:r>
      <w:r w:rsidRPr="00D2796E">
        <w:rPr>
          <w:rFonts w:eastAsia="標楷體"/>
          <w:color w:val="000000" w:themeColor="text1"/>
          <w:sz w:val="28"/>
          <w:szCs w:val="28"/>
        </w:rPr>
        <w:t>2-115</w:t>
      </w:r>
      <w:r w:rsidRPr="00D2796E">
        <w:rPr>
          <w:rFonts w:eastAsia="標楷體"/>
          <w:color w:val="000000" w:themeColor="text1"/>
          <w:sz w:val="28"/>
          <w:szCs w:val="28"/>
        </w:rPr>
        <w:t>年</w:t>
      </w:r>
      <w:r w:rsidRPr="00D2796E">
        <w:rPr>
          <w:rFonts w:eastAsia="標楷體"/>
          <w:color w:val="000000" w:themeColor="text1"/>
          <w:sz w:val="28"/>
          <w:szCs w:val="28"/>
        </w:rPr>
        <w:t>)</w:t>
      </w:r>
      <w:r w:rsidRPr="00D2796E">
        <w:rPr>
          <w:rFonts w:eastAsia="標楷體"/>
          <w:color w:val="000000" w:themeColor="text1"/>
          <w:sz w:val="28"/>
          <w:szCs w:val="28"/>
        </w:rPr>
        <w:t>推動性別主流化實施計畫，</w:t>
      </w:r>
      <w:r w:rsidRPr="00D2796E">
        <w:rPr>
          <w:rFonts w:eastAsia="標楷體"/>
          <w:color w:val="000000" w:themeColor="text1"/>
          <w:sz w:val="28"/>
          <w:szCs w:val="28"/>
        </w:rPr>
        <w:t>112</w:t>
      </w:r>
      <w:r w:rsidRPr="00D2796E">
        <w:rPr>
          <w:rFonts w:eastAsia="標楷體"/>
          <w:color w:val="000000" w:themeColor="text1"/>
          <w:sz w:val="28"/>
          <w:szCs w:val="28"/>
        </w:rPr>
        <w:t>年</w:t>
      </w:r>
      <w:r w:rsidRPr="00D2796E">
        <w:rPr>
          <w:rFonts w:eastAsia="標楷體"/>
          <w:color w:val="000000" w:themeColor="text1"/>
          <w:sz w:val="28"/>
          <w:szCs w:val="28"/>
        </w:rPr>
        <w:t>4</w:t>
      </w:r>
      <w:r w:rsidRPr="00D2796E">
        <w:rPr>
          <w:rFonts w:eastAsia="標楷體"/>
          <w:color w:val="000000" w:themeColor="text1"/>
          <w:sz w:val="28"/>
          <w:szCs w:val="28"/>
        </w:rPr>
        <w:t>月底前須提報性別主流化推動組協助檢視，性別主流化推動組通過後提報最近一次性平會備查。</w:t>
      </w:r>
    </w:p>
    <w:p w14:paraId="66E42C68" w14:textId="77777777" w:rsidR="00A85A36" w:rsidRPr="00D2796E" w:rsidRDefault="00A85A36" w:rsidP="00A85A36">
      <w:pPr>
        <w:pStyle w:val="2"/>
        <w:numPr>
          <w:ilvl w:val="1"/>
          <w:numId w:val="27"/>
        </w:numPr>
        <w:spacing w:line="400" w:lineRule="exact"/>
        <w:ind w:leftChars="0" w:left="851" w:hanging="567"/>
        <w:jc w:val="both"/>
        <w:rPr>
          <w:rFonts w:eastAsia="標楷體"/>
          <w:color w:val="000000" w:themeColor="text1"/>
          <w:sz w:val="28"/>
          <w:szCs w:val="28"/>
        </w:rPr>
      </w:pPr>
      <w:r w:rsidRPr="00D2796E">
        <w:rPr>
          <w:rFonts w:eastAsia="標楷體"/>
          <w:color w:val="000000" w:themeColor="text1"/>
          <w:sz w:val="28"/>
          <w:szCs w:val="28"/>
        </w:rPr>
        <w:t>成果評估：於</w:t>
      </w:r>
      <w:r w:rsidRPr="00D2796E">
        <w:rPr>
          <w:rFonts w:eastAsia="標楷體" w:hint="eastAsia"/>
          <w:color w:val="000000" w:themeColor="text1"/>
          <w:sz w:val="28"/>
          <w:szCs w:val="28"/>
        </w:rPr>
        <w:t>每</w:t>
      </w:r>
      <w:r w:rsidRPr="00D2796E">
        <w:rPr>
          <w:rFonts w:eastAsia="標楷體"/>
          <w:color w:val="000000" w:themeColor="text1"/>
          <w:sz w:val="28"/>
          <w:szCs w:val="28"/>
        </w:rPr>
        <w:t>年</w:t>
      </w:r>
      <w:r w:rsidRPr="00D2796E">
        <w:rPr>
          <w:rFonts w:eastAsia="標楷體"/>
          <w:color w:val="000000" w:themeColor="text1"/>
          <w:sz w:val="28"/>
          <w:szCs w:val="28"/>
        </w:rPr>
        <w:t>4</w:t>
      </w:r>
      <w:r w:rsidRPr="00D2796E">
        <w:rPr>
          <w:rFonts w:eastAsia="標楷體"/>
          <w:color w:val="000000" w:themeColor="text1"/>
          <w:sz w:val="28"/>
          <w:szCs w:val="28"/>
        </w:rPr>
        <w:t>月底前須提報前一年度成果報告</w:t>
      </w:r>
      <w:r w:rsidRPr="00D2796E">
        <w:rPr>
          <w:rFonts w:eastAsia="標楷體"/>
          <w:color w:val="000000" w:themeColor="text1"/>
          <w:sz w:val="28"/>
          <w:szCs w:val="28"/>
        </w:rPr>
        <w:t>(</w:t>
      </w:r>
      <w:r w:rsidRPr="00D2796E">
        <w:rPr>
          <w:rFonts w:eastAsia="標楷體"/>
          <w:color w:val="000000" w:themeColor="text1"/>
          <w:sz w:val="28"/>
          <w:szCs w:val="28"/>
        </w:rPr>
        <w:t>如附表</w:t>
      </w:r>
      <w:r w:rsidRPr="00D2796E">
        <w:rPr>
          <w:rFonts w:eastAsia="標楷體"/>
          <w:color w:val="000000" w:themeColor="text1"/>
          <w:sz w:val="28"/>
          <w:szCs w:val="28"/>
        </w:rPr>
        <w:t>1</w:t>
      </w:r>
      <w:r w:rsidRPr="00D2796E">
        <w:rPr>
          <w:rFonts w:eastAsia="標楷體" w:hint="eastAsia"/>
          <w:color w:val="000000" w:themeColor="text1"/>
          <w:sz w:val="28"/>
          <w:szCs w:val="28"/>
        </w:rPr>
        <w:t>及附表</w:t>
      </w:r>
      <w:r w:rsidRPr="00D2796E">
        <w:rPr>
          <w:rFonts w:eastAsia="標楷體" w:hint="eastAsia"/>
          <w:color w:val="000000" w:themeColor="text1"/>
          <w:sz w:val="28"/>
          <w:szCs w:val="28"/>
        </w:rPr>
        <w:t>2</w:t>
      </w:r>
      <w:r w:rsidRPr="00D2796E">
        <w:rPr>
          <w:rFonts w:eastAsia="標楷體"/>
          <w:color w:val="000000" w:themeColor="text1"/>
          <w:sz w:val="28"/>
          <w:szCs w:val="28"/>
        </w:rPr>
        <w:t>)</w:t>
      </w:r>
      <w:r w:rsidRPr="00D2796E">
        <w:rPr>
          <w:rFonts w:eastAsia="標楷體" w:hint="eastAsia"/>
          <w:color w:val="000000" w:themeColor="text1"/>
          <w:sz w:val="28"/>
          <w:szCs w:val="28"/>
        </w:rPr>
        <w:t>至專責小組會議</w:t>
      </w:r>
      <w:r w:rsidRPr="00D2796E">
        <w:rPr>
          <w:rFonts w:eastAsia="標楷體"/>
          <w:color w:val="000000" w:themeColor="text1"/>
          <w:sz w:val="28"/>
          <w:szCs w:val="28"/>
        </w:rPr>
        <w:t>，並提</w:t>
      </w:r>
      <w:r w:rsidRPr="00D2796E">
        <w:rPr>
          <w:rFonts w:eastAsia="標楷體" w:hint="eastAsia"/>
          <w:color w:val="000000" w:themeColor="text1"/>
          <w:sz w:val="28"/>
          <w:szCs w:val="28"/>
        </w:rPr>
        <w:t>至</w:t>
      </w:r>
      <w:r w:rsidRPr="00D2796E">
        <w:rPr>
          <w:rFonts w:eastAsia="標楷體"/>
          <w:color w:val="000000" w:themeColor="text1"/>
          <w:sz w:val="28"/>
          <w:szCs w:val="28"/>
        </w:rPr>
        <w:t>性別主流化推動組審議，通過後再提</w:t>
      </w:r>
      <w:r w:rsidRPr="00D2796E">
        <w:rPr>
          <w:rFonts w:eastAsia="標楷體" w:hint="eastAsia"/>
          <w:color w:val="000000" w:themeColor="text1"/>
          <w:sz w:val="28"/>
          <w:szCs w:val="28"/>
        </w:rPr>
        <w:t>至</w:t>
      </w:r>
      <w:r w:rsidRPr="00D2796E">
        <w:rPr>
          <w:rFonts w:eastAsia="標楷體"/>
          <w:color w:val="000000" w:themeColor="text1"/>
          <w:sz w:val="28"/>
          <w:szCs w:val="28"/>
        </w:rPr>
        <w:t>最近一次性平會備查。</w:t>
      </w:r>
    </w:p>
    <w:p w14:paraId="5A888F6F" w14:textId="77777777" w:rsidR="00A85A36" w:rsidRPr="00D2796E" w:rsidRDefault="00A85A36" w:rsidP="00A85A36">
      <w:pPr>
        <w:pStyle w:val="2"/>
        <w:numPr>
          <w:ilvl w:val="0"/>
          <w:numId w:val="26"/>
        </w:numPr>
        <w:spacing w:line="400" w:lineRule="exact"/>
        <w:ind w:leftChars="0" w:left="709" w:hanging="567"/>
        <w:jc w:val="both"/>
        <w:rPr>
          <w:rFonts w:eastAsia="標楷體"/>
          <w:color w:val="000000" w:themeColor="text1"/>
          <w:sz w:val="28"/>
          <w:szCs w:val="28"/>
        </w:rPr>
      </w:pPr>
      <w:r w:rsidRPr="00D2796E">
        <w:rPr>
          <w:rFonts w:eastAsia="標楷體" w:hint="eastAsia"/>
          <w:b/>
          <w:color w:val="000000" w:themeColor="text1"/>
          <w:sz w:val="28"/>
          <w:szCs w:val="28"/>
        </w:rPr>
        <w:t>滾動修正</w:t>
      </w:r>
      <w:r w:rsidRPr="00D2796E">
        <w:rPr>
          <w:rFonts w:eastAsia="標楷體" w:hint="eastAsia"/>
          <w:color w:val="000000" w:themeColor="text1"/>
          <w:sz w:val="28"/>
          <w:szCs w:val="28"/>
        </w:rPr>
        <w:t>：得視前一年度執行成果修訂該機關性別主流化實施計畫，並</w:t>
      </w:r>
      <w:r w:rsidRPr="00D2796E">
        <w:rPr>
          <w:rFonts w:eastAsia="標楷體"/>
          <w:color w:val="000000" w:themeColor="text1"/>
          <w:sz w:val="28"/>
          <w:szCs w:val="28"/>
        </w:rPr>
        <w:t>提</w:t>
      </w:r>
      <w:r w:rsidRPr="00D2796E">
        <w:rPr>
          <w:rFonts w:eastAsia="標楷體" w:hint="eastAsia"/>
          <w:color w:val="000000" w:themeColor="text1"/>
          <w:sz w:val="28"/>
          <w:szCs w:val="28"/>
        </w:rPr>
        <w:t>至</w:t>
      </w:r>
      <w:r w:rsidRPr="00D2796E">
        <w:rPr>
          <w:rFonts w:eastAsia="標楷體"/>
          <w:color w:val="000000" w:themeColor="text1"/>
          <w:sz w:val="28"/>
          <w:szCs w:val="28"/>
        </w:rPr>
        <w:t>性別主流化推動組審議，通過後</w:t>
      </w:r>
      <w:r w:rsidRPr="00D2796E">
        <w:rPr>
          <w:rFonts w:eastAsia="標楷體" w:hint="eastAsia"/>
          <w:color w:val="000000" w:themeColor="text1"/>
          <w:sz w:val="28"/>
          <w:szCs w:val="28"/>
        </w:rPr>
        <w:t>再</w:t>
      </w:r>
      <w:r w:rsidRPr="00D2796E">
        <w:rPr>
          <w:rFonts w:eastAsia="標楷體"/>
          <w:color w:val="000000" w:themeColor="text1"/>
          <w:sz w:val="28"/>
          <w:szCs w:val="28"/>
        </w:rPr>
        <w:t>提報最近一次性平會備查。</w:t>
      </w:r>
    </w:p>
    <w:p w14:paraId="43F3869E" w14:textId="77777777" w:rsidR="00A85A36" w:rsidRPr="00D2796E" w:rsidRDefault="00A85A36" w:rsidP="00A85A36">
      <w:pPr>
        <w:pStyle w:val="a3"/>
        <w:numPr>
          <w:ilvl w:val="0"/>
          <w:numId w:val="4"/>
        </w:numPr>
        <w:spacing w:line="400" w:lineRule="exact"/>
        <w:ind w:leftChars="0" w:left="709" w:hanging="567"/>
        <w:jc w:val="both"/>
        <w:rPr>
          <w:rFonts w:ascii="Times New Roman" w:eastAsia="標楷體" w:hAnsi="Times New Roman" w:cs="Times New Roman"/>
          <w:color w:val="000000" w:themeColor="text1"/>
          <w:sz w:val="28"/>
          <w:szCs w:val="28"/>
        </w:rPr>
      </w:pPr>
      <w:proofErr w:type="gramStart"/>
      <w:r w:rsidRPr="00D2796E">
        <w:rPr>
          <w:rFonts w:eastAsia="標楷體"/>
          <w:b/>
          <w:color w:val="000000" w:themeColor="text1"/>
          <w:sz w:val="28"/>
          <w:szCs w:val="28"/>
        </w:rPr>
        <w:t>賡</w:t>
      </w:r>
      <w:proofErr w:type="gramEnd"/>
      <w:r w:rsidRPr="00D2796E">
        <w:rPr>
          <w:rFonts w:eastAsia="標楷體"/>
          <w:b/>
          <w:color w:val="000000" w:themeColor="text1"/>
          <w:sz w:val="28"/>
          <w:szCs w:val="28"/>
        </w:rPr>
        <w:t>續推動性別主流化各項工具</w:t>
      </w:r>
    </w:p>
    <w:p w14:paraId="70802773" w14:textId="77777777" w:rsidR="00A85A36" w:rsidRPr="00D2796E" w:rsidRDefault="00A85A36" w:rsidP="00A85A36">
      <w:pPr>
        <w:pStyle w:val="a3"/>
        <w:numPr>
          <w:ilvl w:val="0"/>
          <w:numId w:val="6"/>
        </w:numPr>
        <w:spacing w:line="400" w:lineRule="exact"/>
        <w:ind w:leftChars="0" w:left="851" w:hanging="567"/>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b/>
          <w:color w:val="000000" w:themeColor="text1"/>
          <w:sz w:val="28"/>
          <w:szCs w:val="28"/>
        </w:rPr>
        <w:t>性別意識培力</w:t>
      </w:r>
    </w:p>
    <w:p w14:paraId="7F764EA0" w14:textId="77777777" w:rsidR="00A85A36" w:rsidRPr="00D2796E" w:rsidRDefault="00A85A36" w:rsidP="00A85A36">
      <w:pPr>
        <w:pStyle w:val="a3"/>
        <w:numPr>
          <w:ilvl w:val="0"/>
          <w:numId w:val="28"/>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公務人員研習課程：</w:t>
      </w:r>
    </w:p>
    <w:p w14:paraId="78B34708" w14:textId="77777777" w:rsidR="00A85A36" w:rsidRPr="00D2796E" w:rsidRDefault="00A85A36" w:rsidP="00A85A36">
      <w:pPr>
        <w:pStyle w:val="a3"/>
        <w:numPr>
          <w:ilvl w:val="0"/>
          <w:numId w:val="7"/>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參加對象：</w:t>
      </w:r>
      <w:r w:rsidRPr="00D2796E">
        <w:rPr>
          <w:rFonts w:ascii="Times New Roman" w:eastAsia="標楷體" w:hAnsi="Times New Roman" w:cs="Times New Roman" w:hint="eastAsia"/>
          <w:color w:val="000000" w:themeColor="text1"/>
          <w:sz w:val="28"/>
          <w:szCs w:val="28"/>
        </w:rPr>
        <w:t>政務人員、</w:t>
      </w:r>
      <w:r w:rsidRPr="00D2796E">
        <w:rPr>
          <w:rFonts w:ascii="Times New Roman" w:eastAsia="標楷體" w:hAnsi="Times New Roman" w:cs="Times New Roman"/>
          <w:color w:val="000000" w:themeColor="text1"/>
          <w:sz w:val="28"/>
          <w:szCs w:val="28"/>
        </w:rPr>
        <w:t>一般公務人員、主管人員</w:t>
      </w:r>
      <w:r w:rsidRPr="00D2796E">
        <w:rPr>
          <w:rFonts w:ascii="Times New Roman" w:eastAsia="標楷體" w:hAnsi="Times New Roman" w:cs="Times New Roman" w:hint="eastAsia"/>
          <w:color w:val="000000" w:themeColor="text1"/>
          <w:sz w:val="28"/>
          <w:szCs w:val="28"/>
        </w:rPr>
        <w:t>、其他專任人員</w:t>
      </w:r>
      <w:r w:rsidRPr="00D2796E">
        <w:rPr>
          <w:rFonts w:ascii="Times New Roman" w:eastAsia="標楷體" w:hAnsi="Times New Roman" w:cs="Times New Roman"/>
          <w:color w:val="000000" w:themeColor="text1"/>
          <w:sz w:val="28"/>
          <w:szCs w:val="28"/>
        </w:rPr>
        <w:t>(</w:t>
      </w:r>
      <w:proofErr w:type="gramStart"/>
      <w:r w:rsidRPr="00D2796E">
        <w:rPr>
          <w:rFonts w:ascii="Times New Roman" w:eastAsia="標楷體" w:hAnsi="Times New Roman" w:cs="Times New Roman"/>
          <w:color w:val="000000" w:themeColor="text1"/>
          <w:sz w:val="28"/>
          <w:szCs w:val="28"/>
        </w:rPr>
        <w:t>註</w:t>
      </w:r>
      <w:proofErr w:type="gramEnd"/>
      <w:r w:rsidRPr="00D2796E">
        <w:rPr>
          <w:rFonts w:ascii="Times New Roman" w:eastAsia="標楷體" w:hAnsi="Times New Roman" w:cs="Times New Roman"/>
          <w:color w:val="000000" w:themeColor="text1"/>
          <w:sz w:val="28"/>
          <w:szCs w:val="28"/>
        </w:rPr>
        <w:t>1)</w:t>
      </w:r>
      <w:r w:rsidRPr="00D2796E">
        <w:rPr>
          <w:rFonts w:eastAsia="標楷體"/>
          <w:color w:val="000000" w:themeColor="text1"/>
          <w:sz w:val="28"/>
          <w:szCs w:val="28"/>
        </w:rPr>
        <w:t>。</w:t>
      </w:r>
    </w:p>
    <w:p w14:paraId="10B9084D" w14:textId="77777777" w:rsidR="00A85A36" w:rsidRPr="00D2796E" w:rsidRDefault="00A85A36" w:rsidP="00A85A36">
      <w:pPr>
        <w:pStyle w:val="a3"/>
        <w:numPr>
          <w:ilvl w:val="0"/>
          <w:numId w:val="7"/>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辦理內容：</w:t>
      </w:r>
    </w:p>
    <w:p w14:paraId="25803855" w14:textId="77777777" w:rsidR="00A85A36" w:rsidRPr="00D2796E" w:rsidRDefault="00A85A36" w:rsidP="00A85A36">
      <w:pPr>
        <w:pStyle w:val="2"/>
        <w:numPr>
          <w:ilvl w:val="0"/>
          <w:numId w:val="29"/>
        </w:numPr>
        <w:spacing w:line="400" w:lineRule="exact"/>
        <w:ind w:leftChars="350" w:left="1120" w:hangingChars="100" w:hanging="280"/>
        <w:jc w:val="both"/>
        <w:rPr>
          <w:rFonts w:eastAsia="標楷體"/>
          <w:color w:val="000000" w:themeColor="text1"/>
          <w:sz w:val="28"/>
          <w:szCs w:val="28"/>
        </w:rPr>
      </w:pPr>
      <w:r w:rsidRPr="00D2796E">
        <w:rPr>
          <w:rFonts w:eastAsia="標楷體" w:hint="eastAsia"/>
          <w:color w:val="000000" w:themeColor="text1"/>
          <w:sz w:val="28"/>
          <w:szCs w:val="28"/>
        </w:rPr>
        <w:t>由人事室</w:t>
      </w:r>
      <w:r w:rsidRPr="00D2796E">
        <w:rPr>
          <w:rFonts w:eastAsia="標楷體"/>
          <w:color w:val="000000" w:themeColor="text1"/>
          <w:sz w:val="28"/>
          <w:szCs w:val="28"/>
        </w:rPr>
        <w:t>每年針對本局同仁，以專題演講、</w:t>
      </w:r>
      <w:r w:rsidRPr="00D2796E">
        <w:rPr>
          <w:rFonts w:eastAsia="標楷體" w:hint="eastAsia"/>
          <w:color w:val="000000" w:themeColor="text1"/>
          <w:sz w:val="28"/>
          <w:szCs w:val="28"/>
        </w:rPr>
        <w:t>團體討論</w:t>
      </w:r>
      <w:r w:rsidRPr="00D2796E">
        <w:rPr>
          <w:rFonts w:eastAsia="標楷體" w:hint="eastAsia"/>
          <w:color w:val="000000" w:themeColor="text1"/>
          <w:sz w:val="28"/>
          <w:szCs w:val="28"/>
        </w:rPr>
        <w:t>(</w:t>
      </w:r>
      <w:r w:rsidRPr="00D2796E">
        <w:rPr>
          <w:rFonts w:eastAsia="標楷體" w:hint="eastAsia"/>
          <w:color w:val="000000" w:themeColor="text1"/>
          <w:sz w:val="28"/>
          <w:szCs w:val="28"/>
        </w:rPr>
        <w:t>座談、電影欣賞及導讀、展覽表演之導</w:t>
      </w:r>
      <w:proofErr w:type="gramStart"/>
      <w:r w:rsidRPr="00D2796E">
        <w:rPr>
          <w:rFonts w:eastAsia="標楷體" w:hint="eastAsia"/>
          <w:color w:val="000000" w:themeColor="text1"/>
          <w:sz w:val="28"/>
          <w:szCs w:val="28"/>
        </w:rPr>
        <w:t>覽</w:t>
      </w:r>
      <w:proofErr w:type="gramEnd"/>
      <w:r w:rsidRPr="00D2796E">
        <w:rPr>
          <w:rFonts w:eastAsia="標楷體" w:hint="eastAsia"/>
          <w:color w:val="000000" w:themeColor="text1"/>
          <w:sz w:val="28"/>
          <w:szCs w:val="28"/>
        </w:rPr>
        <w:t>及賞析、案例研討工作坊、交流會、集會、社團或讀書會</w:t>
      </w:r>
      <w:r w:rsidRPr="00D2796E">
        <w:rPr>
          <w:rFonts w:eastAsia="標楷體" w:hint="eastAsia"/>
          <w:color w:val="000000" w:themeColor="text1"/>
          <w:sz w:val="28"/>
          <w:szCs w:val="28"/>
        </w:rPr>
        <w:t>)</w:t>
      </w:r>
      <w:r w:rsidRPr="00D2796E">
        <w:rPr>
          <w:rFonts w:eastAsia="標楷體" w:hint="eastAsia"/>
          <w:color w:val="000000" w:themeColor="text1"/>
          <w:sz w:val="28"/>
          <w:szCs w:val="28"/>
        </w:rPr>
        <w:t>、</w:t>
      </w:r>
      <w:r w:rsidRPr="00D2796E">
        <w:rPr>
          <w:rFonts w:eastAsia="標楷體"/>
          <w:color w:val="000000" w:themeColor="text1"/>
          <w:sz w:val="28"/>
          <w:szCs w:val="28"/>
        </w:rPr>
        <w:t>網</w:t>
      </w:r>
      <w:r w:rsidRPr="00D2796E">
        <w:rPr>
          <w:rFonts w:eastAsia="標楷體" w:hint="eastAsia"/>
          <w:color w:val="000000" w:themeColor="text1"/>
          <w:sz w:val="28"/>
          <w:szCs w:val="28"/>
        </w:rPr>
        <w:t>路學</w:t>
      </w:r>
      <w:r w:rsidRPr="00D2796E">
        <w:rPr>
          <w:rFonts w:eastAsia="標楷體"/>
          <w:color w:val="000000" w:themeColor="text1"/>
          <w:sz w:val="28"/>
          <w:szCs w:val="28"/>
        </w:rPr>
        <w:t>習等各種方式辦理。</w:t>
      </w:r>
    </w:p>
    <w:p w14:paraId="42FDDDDC" w14:textId="77777777" w:rsidR="00A85A36" w:rsidRPr="00D2796E" w:rsidRDefault="00A85A36" w:rsidP="00A85A36">
      <w:pPr>
        <w:pStyle w:val="2"/>
        <w:numPr>
          <w:ilvl w:val="0"/>
          <w:numId w:val="29"/>
        </w:numPr>
        <w:spacing w:line="400" w:lineRule="exact"/>
        <w:ind w:leftChars="350" w:left="1120" w:hangingChars="100" w:hanging="280"/>
        <w:jc w:val="both"/>
        <w:rPr>
          <w:rFonts w:eastAsia="標楷體"/>
          <w:color w:val="000000" w:themeColor="text1"/>
          <w:sz w:val="28"/>
          <w:szCs w:val="28"/>
        </w:rPr>
      </w:pPr>
      <w:r w:rsidRPr="00D2796E">
        <w:rPr>
          <w:rFonts w:eastAsia="標楷體" w:hint="eastAsia"/>
          <w:color w:val="000000" w:themeColor="text1"/>
          <w:sz w:val="28"/>
          <w:szCs w:val="28"/>
        </w:rPr>
        <w:t>依不同對象規劃不同訓練方式，每人每年至少施以</w:t>
      </w:r>
      <w:r w:rsidRPr="00D2796E">
        <w:rPr>
          <w:rFonts w:eastAsia="標楷體" w:hint="eastAsia"/>
          <w:color w:val="000000" w:themeColor="text1"/>
          <w:sz w:val="28"/>
          <w:szCs w:val="28"/>
        </w:rPr>
        <w:t>2</w:t>
      </w:r>
      <w:r w:rsidRPr="00D2796E">
        <w:rPr>
          <w:rFonts w:eastAsia="標楷體" w:hint="eastAsia"/>
          <w:color w:val="000000" w:themeColor="text1"/>
          <w:sz w:val="28"/>
          <w:szCs w:val="28"/>
        </w:rPr>
        <w:t>小時之課程訓練。對政務人員之訓練，得以課程訓練</w:t>
      </w:r>
      <w:r w:rsidRPr="00D2796E">
        <w:rPr>
          <w:rFonts w:eastAsia="標楷體" w:hint="eastAsia"/>
          <w:color w:val="000000" w:themeColor="text1"/>
          <w:sz w:val="28"/>
          <w:szCs w:val="28"/>
        </w:rPr>
        <w:t>(</w:t>
      </w:r>
      <w:r w:rsidRPr="00D2796E">
        <w:rPr>
          <w:rFonts w:eastAsia="標楷體" w:hint="eastAsia"/>
          <w:color w:val="000000" w:themeColor="text1"/>
          <w:sz w:val="28"/>
          <w:szCs w:val="28"/>
        </w:rPr>
        <w:t>含各類會議中納入性別課程</w:t>
      </w:r>
      <w:r w:rsidRPr="00D2796E">
        <w:rPr>
          <w:rFonts w:eastAsia="標楷體" w:hint="eastAsia"/>
          <w:color w:val="000000" w:themeColor="text1"/>
          <w:sz w:val="28"/>
          <w:szCs w:val="28"/>
        </w:rPr>
        <w:t>)</w:t>
      </w:r>
      <w:r w:rsidRPr="00D2796E">
        <w:rPr>
          <w:rFonts w:eastAsia="標楷體" w:hint="eastAsia"/>
          <w:color w:val="000000" w:themeColor="text1"/>
          <w:sz w:val="28"/>
          <w:szCs w:val="28"/>
        </w:rPr>
        <w:t>或參加性別平等相關會議方式辦理。性別平等業務人員及性騷擾防治業務人員，</w:t>
      </w:r>
      <w:r w:rsidRPr="00D2796E">
        <w:rPr>
          <w:rFonts w:eastAsia="標楷體" w:hint="eastAsia"/>
          <w:color w:val="000000" w:themeColor="text1"/>
          <w:sz w:val="28"/>
          <w:szCs w:val="28"/>
        </w:rPr>
        <w:lastRenderedPageBreak/>
        <w:t>每年應完成</w:t>
      </w:r>
      <w:r w:rsidRPr="00D2796E">
        <w:rPr>
          <w:rFonts w:eastAsia="標楷體" w:hint="eastAsia"/>
          <w:color w:val="000000" w:themeColor="text1"/>
          <w:sz w:val="28"/>
          <w:szCs w:val="28"/>
        </w:rPr>
        <w:t>10</w:t>
      </w:r>
      <w:r w:rsidRPr="00D2796E">
        <w:rPr>
          <w:rFonts w:eastAsia="標楷體" w:hint="eastAsia"/>
          <w:color w:val="000000" w:themeColor="text1"/>
          <w:sz w:val="28"/>
          <w:szCs w:val="28"/>
        </w:rPr>
        <w:t>小時以上之進階課程訓練，其中性騷擾防治業務人員之訓練，應包含</w:t>
      </w:r>
      <w:r w:rsidRPr="00D2796E">
        <w:rPr>
          <w:rFonts w:eastAsia="標楷體" w:hint="eastAsia"/>
          <w:color w:val="000000" w:themeColor="text1"/>
          <w:sz w:val="28"/>
          <w:szCs w:val="28"/>
        </w:rPr>
        <w:t>2</w:t>
      </w:r>
      <w:r w:rsidRPr="00D2796E">
        <w:rPr>
          <w:rFonts w:eastAsia="標楷體" w:hint="eastAsia"/>
          <w:color w:val="000000" w:themeColor="text1"/>
          <w:sz w:val="28"/>
          <w:szCs w:val="28"/>
        </w:rPr>
        <w:t>小時以上之性騷擾防治課程</w:t>
      </w:r>
      <w:r w:rsidRPr="00D2796E">
        <w:rPr>
          <w:rFonts w:eastAsia="標楷體"/>
          <w:color w:val="000000" w:themeColor="text1"/>
          <w:sz w:val="28"/>
          <w:szCs w:val="28"/>
        </w:rPr>
        <w:t>。</w:t>
      </w:r>
    </w:p>
    <w:p w14:paraId="2035179E" w14:textId="77777777" w:rsidR="00A85A36" w:rsidRPr="00D2796E" w:rsidRDefault="00A85A36" w:rsidP="00A85A36">
      <w:pPr>
        <w:pStyle w:val="2"/>
        <w:numPr>
          <w:ilvl w:val="0"/>
          <w:numId w:val="29"/>
        </w:numPr>
        <w:spacing w:line="400" w:lineRule="exact"/>
        <w:ind w:leftChars="350" w:left="1120" w:hangingChars="100" w:hanging="280"/>
        <w:jc w:val="both"/>
        <w:rPr>
          <w:rFonts w:eastAsia="標楷體"/>
          <w:color w:val="000000" w:themeColor="text1"/>
          <w:sz w:val="28"/>
          <w:szCs w:val="28"/>
        </w:rPr>
      </w:pPr>
      <w:r w:rsidRPr="00D2796E">
        <w:rPr>
          <w:rFonts w:eastAsia="標楷體" w:hint="eastAsia"/>
          <w:color w:val="000000" w:themeColor="text1"/>
          <w:sz w:val="28"/>
          <w:szCs w:val="28"/>
        </w:rPr>
        <w:t>各機關就已參加基礎課程訓練之人員，宜自行辦理或參與其他機關之進階課程；</w:t>
      </w:r>
      <w:proofErr w:type="gramStart"/>
      <w:r w:rsidRPr="00D2796E">
        <w:rPr>
          <w:rFonts w:eastAsia="標楷體" w:hint="eastAsia"/>
          <w:color w:val="000000" w:themeColor="text1"/>
          <w:sz w:val="28"/>
          <w:szCs w:val="28"/>
        </w:rPr>
        <w:t>並宜依本</w:t>
      </w:r>
      <w:proofErr w:type="gramEnd"/>
      <w:r w:rsidRPr="00D2796E">
        <w:rPr>
          <w:rFonts w:eastAsia="標楷體" w:hint="eastAsia"/>
          <w:color w:val="000000" w:themeColor="text1"/>
          <w:sz w:val="28"/>
          <w:szCs w:val="28"/>
        </w:rPr>
        <w:t>訓練需求發展與業務關聯之教材</w:t>
      </w:r>
      <w:r w:rsidRPr="00D2796E">
        <w:rPr>
          <w:rFonts w:eastAsia="標楷體"/>
          <w:color w:val="000000" w:themeColor="text1"/>
          <w:sz w:val="28"/>
          <w:szCs w:val="28"/>
        </w:rPr>
        <w:t>。</w:t>
      </w:r>
    </w:p>
    <w:p w14:paraId="2FD7C1F2" w14:textId="77777777" w:rsidR="00A85A36" w:rsidRPr="00D2796E" w:rsidRDefault="00A85A36" w:rsidP="00A85A36">
      <w:pPr>
        <w:pStyle w:val="2"/>
        <w:numPr>
          <w:ilvl w:val="0"/>
          <w:numId w:val="29"/>
        </w:numPr>
        <w:spacing w:line="400" w:lineRule="exact"/>
        <w:ind w:leftChars="350" w:left="1120" w:hangingChars="100" w:hanging="280"/>
        <w:jc w:val="both"/>
        <w:rPr>
          <w:rFonts w:eastAsia="標楷體"/>
          <w:color w:val="000000" w:themeColor="text1"/>
          <w:sz w:val="28"/>
          <w:szCs w:val="28"/>
        </w:rPr>
      </w:pPr>
      <w:r w:rsidRPr="00D2796E">
        <w:rPr>
          <w:rFonts w:eastAsia="標楷體"/>
          <w:color w:val="000000" w:themeColor="text1"/>
          <w:sz w:val="28"/>
          <w:szCs w:val="28"/>
        </w:rPr>
        <w:t>性課程訓練請依「各機關性別</w:t>
      </w:r>
      <w:r w:rsidRPr="00D2796E">
        <w:rPr>
          <w:rFonts w:eastAsia="標楷體" w:hint="eastAsia"/>
          <w:color w:val="000000" w:themeColor="text1"/>
          <w:sz w:val="28"/>
          <w:szCs w:val="28"/>
        </w:rPr>
        <w:t>平等</w:t>
      </w:r>
      <w:r w:rsidRPr="00D2796E">
        <w:rPr>
          <w:rFonts w:eastAsia="標楷體"/>
          <w:color w:val="000000" w:themeColor="text1"/>
          <w:sz w:val="28"/>
          <w:szCs w:val="28"/>
        </w:rPr>
        <w:t>訓練計畫」</w:t>
      </w:r>
      <w:r w:rsidRPr="00D2796E">
        <w:rPr>
          <w:rFonts w:eastAsia="標楷體"/>
          <w:color w:val="000000" w:themeColor="text1"/>
          <w:sz w:val="28"/>
          <w:szCs w:val="28"/>
        </w:rPr>
        <w:t>(</w:t>
      </w:r>
      <w:proofErr w:type="gramStart"/>
      <w:r w:rsidRPr="00D2796E">
        <w:rPr>
          <w:rFonts w:eastAsia="標楷體"/>
          <w:color w:val="000000" w:themeColor="text1"/>
          <w:sz w:val="28"/>
          <w:szCs w:val="28"/>
        </w:rPr>
        <w:t>註</w:t>
      </w:r>
      <w:proofErr w:type="gramEnd"/>
      <w:r w:rsidRPr="00D2796E">
        <w:rPr>
          <w:rFonts w:eastAsia="標楷體" w:hint="eastAsia"/>
          <w:color w:val="000000" w:themeColor="text1"/>
          <w:sz w:val="28"/>
          <w:szCs w:val="28"/>
        </w:rPr>
        <w:t>2</w:t>
      </w:r>
      <w:r w:rsidRPr="00D2796E">
        <w:rPr>
          <w:rFonts w:eastAsia="標楷體"/>
          <w:color w:val="000000" w:themeColor="text1"/>
          <w:sz w:val="28"/>
          <w:szCs w:val="28"/>
        </w:rPr>
        <w:t>)</w:t>
      </w:r>
      <w:r w:rsidRPr="00D2796E">
        <w:rPr>
          <w:rFonts w:eastAsia="標楷體"/>
          <w:color w:val="000000" w:themeColor="text1"/>
          <w:sz w:val="28"/>
          <w:szCs w:val="28"/>
        </w:rPr>
        <w:t>規劃之基礎課程</w:t>
      </w:r>
      <w:r w:rsidRPr="00D2796E">
        <w:rPr>
          <w:rFonts w:eastAsia="標楷體"/>
          <w:color w:val="000000" w:themeColor="text1"/>
          <w:sz w:val="28"/>
          <w:szCs w:val="28"/>
        </w:rPr>
        <w:t>(</w:t>
      </w:r>
      <w:r w:rsidRPr="00D2796E">
        <w:rPr>
          <w:rFonts w:eastAsia="標楷體"/>
          <w:color w:val="000000" w:themeColor="text1"/>
          <w:sz w:val="28"/>
          <w:szCs w:val="28"/>
        </w:rPr>
        <w:t>例如：性別平等政策概論、性別意識一般通論、消除對婦女一切形式歧視公約</w:t>
      </w:r>
      <w:r w:rsidRPr="00D2796E">
        <w:rPr>
          <w:rFonts w:eastAsia="標楷體"/>
          <w:color w:val="000000" w:themeColor="text1"/>
          <w:sz w:val="28"/>
          <w:szCs w:val="28"/>
        </w:rPr>
        <w:t>(CEDAW)</w:t>
      </w:r>
      <w:r w:rsidRPr="00D2796E">
        <w:rPr>
          <w:rFonts w:eastAsia="標楷體"/>
          <w:color w:val="000000" w:themeColor="text1"/>
          <w:sz w:val="28"/>
          <w:szCs w:val="28"/>
        </w:rPr>
        <w:t>導論</w:t>
      </w:r>
      <w:r w:rsidRPr="00D2796E">
        <w:rPr>
          <w:rFonts w:eastAsia="標楷體" w:hint="eastAsia"/>
          <w:color w:val="000000" w:themeColor="text1"/>
          <w:sz w:val="28"/>
          <w:szCs w:val="28"/>
        </w:rPr>
        <w:t>、認識多元性別</w:t>
      </w:r>
      <w:r w:rsidRPr="00D2796E">
        <w:rPr>
          <w:rFonts w:eastAsia="標楷體"/>
          <w:color w:val="000000" w:themeColor="text1"/>
          <w:sz w:val="28"/>
          <w:szCs w:val="28"/>
        </w:rPr>
        <w:t>等</w:t>
      </w:r>
      <w:r w:rsidRPr="00D2796E">
        <w:rPr>
          <w:rFonts w:eastAsia="標楷體"/>
          <w:color w:val="000000" w:themeColor="text1"/>
          <w:sz w:val="28"/>
          <w:szCs w:val="28"/>
        </w:rPr>
        <w:t>)</w:t>
      </w:r>
      <w:r w:rsidRPr="00D2796E">
        <w:rPr>
          <w:rFonts w:eastAsia="標楷體"/>
          <w:color w:val="000000" w:themeColor="text1"/>
          <w:sz w:val="28"/>
          <w:szCs w:val="28"/>
        </w:rPr>
        <w:t>及進階課程</w:t>
      </w:r>
      <w:r w:rsidRPr="00D2796E">
        <w:rPr>
          <w:rFonts w:eastAsia="標楷體"/>
          <w:color w:val="000000" w:themeColor="text1"/>
          <w:sz w:val="28"/>
          <w:szCs w:val="28"/>
        </w:rPr>
        <w:t>(</w:t>
      </w:r>
      <w:r w:rsidRPr="00D2796E">
        <w:rPr>
          <w:rFonts w:eastAsia="標楷體"/>
          <w:color w:val="000000" w:themeColor="text1"/>
          <w:sz w:val="28"/>
          <w:szCs w:val="28"/>
        </w:rPr>
        <w:t>性別主流化工具與實例運用、性別平等政策綱領各領域專案研討、</w:t>
      </w:r>
      <w:r w:rsidRPr="00D2796E">
        <w:rPr>
          <w:rFonts w:eastAsia="標楷體" w:hint="eastAsia"/>
          <w:color w:val="000000" w:themeColor="text1"/>
          <w:sz w:val="28"/>
          <w:szCs w:val="28"/>
        </w:rPr>
        <w:t>消除對</w:t>
      </w:r>
      <w:r w:rsidRPr="00D2796E">
        <w:rPr>
          <w:rFonts w:eastAsia="標楷體"/>
          <w:color w:val="000000" w:themeColor="text1"/>
          <w:sz w:val="28"/>
          <w:szCs w:val="28"/>
        </w:rPr>
        <w:t>婦女一切形式歧視公約</w:t>
      </w:r>
      <w:r w:rsidRPr="00D2796E">
        <w:rPr>
          <w:rFonts w:eastAsia="標楷體"/>
          <w:color w:val="000000" w:themeColor="text1"/>
          <w:sz w:val="28"/>
          <w:szCs w:val="28"/>
        </w:rPr>
        <w:t>(CEDAW)</w:t>
      </w:r>
      <w:r w:rsidRPr="00D2796E">
        <w:rPr>
          <w:rFonts w:eastAsia="標楷體"/>
          <w:color w:val="000000" w:themeColor="text1"/>
          <w:sz w:val="28"/>
          <w:szCs w:val="28"/>
        </w:rPr>
        <w:t>實務及案例研討</w:t>
      </w:r>
      <w:r w:rsidRPr="00D2796E">
        <w:rPr>
          <w:rFonts w:eastAsia="標楷體" w:hint="eastAsia"/>
          <w:color w:val="000000" w:themeColor="text1"/>
          <w:sz w:val="28"/>
          <w:szCs w:val="28"/>
        </w:rPr>
        <w:t>、多元性別權益保障</w:t>
      </w:r>
      <w:r w:rsidRPr="00D2796E">
        <w:rPr>
          <w:rFonts w:eastAsia="標楷體"/>
          <w:color w:val="000000" w:themeColor="text1"/>
          <w:sz w:val="28"/>
          <w:szCs w:val="28"/>
        </w:rPr>
        <w:t>)</w:t>
      </w:r>
      <w:r w:rsidRPr="00D2796E">
        <w:rPr>
          <w:rFonts w:eastAsia="標楷體"/>
          <w:color w:val="000000" w:themeColor="text1"/>
          <w:sz w:val="28"/>
          <w:szCs w:val="28"/>
        </w:rPr>
        <w:t>辦理。</w:t>
      </w:r>
    </w:p>
    <w:p w14:paraId="03382793" w14:textId="77777777" w:rsidR="00A85A36" w:rsidRPr="00D2796E" w:rsidRDefault="00A85A36" w:rsidP="00A85A36">
      <w:pPr>
        <w:pStyle w:val="a3"/>
        <w:numPr>
          <w:ilvl w:val="0"/>
          <w:numId w:val="7"/>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執行成果：每年依培力成果表</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如附表</w:t>
      </w:r>
      <w:r w:rsidRPr="00D2796E">
        <w:rPr>
          <w:rFonts w:ascii="Times New Roman" w:eastAsia="標楷體" w:hAnsi="Times New Roman" w:cs="Times New Roman"/>
          <w:color w:val="000000" w:themeColor="text1"/>
          <w:sz w:val="28"/>
          <w:szCs w:val="28"/>
        </w:rPr>
        <w:t>3)</w:t>
      </w:r>
      <w:r w:rsidRPr="00D2796E">
        <w:rPr>
          <w:rFonts w:ascii="Times New Roman" w:eastAsia="標楷體" w:hAnsi="Times New Roman" w:cs="Times New Roman"/>
          <w:color w:val="000000" w:themeColor="text1"/>
          <w:sz w:val="28"/>
          <w:szCs w:val="28"/>
        </w:rPr>
        <w:t>分別於</w:t>
      </w:r>
      <w:r w:rsidRPr="00D2796E">
        <w:rPr>
          <w:rFonts w:ascii="Times New Roman" w:eastAsia="標楷體" w:hAnsi="Times New Roman" w:cs="Times New Roman"/>
          <w:color w:val="000000" w:themeColor="text1"/>
          <w:sz w:val="28"/>
          <w:szCs w:val="28"/>
        </w:rPr>
        <w:t>4</w:t>
      </w:r>
      <w:r w:rsidRPr="00D2796E">
        <w:rPr>
          <w:rFonts w:ascii="Times New Roman" w:eastAsia="標楷體" w:hAnsi="Times New Roman" w:cs="Times New Roman"/>
          <w:color w:val="000000" w:themeColor="text1"/>
          <w:sz w:val="28"/>
          <w:szCs w:val="28"/>
        </w:rPr>
        <w:t>月初、</w:t>
      </w:r>
      <w:r w:rsidRPr="00D2796E">
        <w:rPr>
          <w:rFonts w:ascii="Times New Roman" w:eastAsia="標楷體" w:hAnsi="Times New Roman" w:cs="Times New Roman"/>
          <w:color w:val="000000" w:themeColor="text1"/>
          <w:sz w:val="28"/>
          <w:szCs w:val="28"/>
        </w:rPr>
        <w:t>7</w:t>
      </w:r>
      <w:r w:rsidRPr="00D2796E">
        <w:rPr>
          <w:rFonts w:ascii="Times New Roman" w:eastAsia="標楷體" w:hAnsi="Times New Roman" w:cs="Times New Roman"/>
          <w:color w:val="000000" w:themeColor="text1"/>
          <w:sz w:val="28"/>
          <w:szCs w:val="28"/>
        </w:rPr>
        <w:t>月初、</w:t>
      </w:r>
      <w:r w:rsidRPr="00D2796E">
        <w:rPr>
          <w:rFonts w:ascii="Times New Roman" w:eastAsia="標楷體" w:hAnsi="Times New Roman" w:cs="Times New Roman"/>
          <w:color w:val="000000" w:themeColor="text1"/>
          <w:sz w:val="28"/>
          <w:szCs w:val="28"/>
        </w:rPr>
        <w:t>10</w:t>
      </w:r>
      <w:r w:rsidRPr="00D2796E">
        <w:rPr>
          <w:rFonts w:ascii="Times New Roman" w:eastAsia="標楷體" w:hAnsi="Times New Roman" w:cs="Times New Roman"/>
          <w:color w:val="000000" w:themeColor="text1"/>
          <w:sz w:val="28"/>
          <w:szCs w:val="28"/>
        </w:rPr>
        <w:t>月初及次年</w:t>
      </w:r>
      <w:r w:rsidRPr="00D2796E">
        <w:rPr>
          <w:rFonts w:ascii="Times New Roman" w:eastAsia="標楷體" w:hAnsi="Times New Roman" w:cs="Times New Roman"/>
          <w:color w:val="000000" w:themeColor="text1"/>
          <w:sz w:val="28"/>
          <w:szCs w:val="28"/>
        </w:rPr>
        <w:t>1</w:t>
      </w:r>
      <w:r w:rsidRPr="00D2796E">
        <w:rPr>
          <w:rFonts w:ascii="Times New Roman" w:eastAsia="標楷體" w:hAnsi="Times New Roman" w:cs="Times New Roman"/>
          <w:color w:val="000000" w:themeColor="text1"/>
          <w:sz w:val="28"/>
          <w:szCs w:val="28"/>
        </w:rPr>
        <w:t>月初，提出培力訓練之成果報告。</w:t>
      </w:r>
    </w:p>
    <w:p w14:paraId="1C52F0E5" w14:textId="77777777" w:rsidR="00A85A36" w:rsidRPr="00D2796E" w:rsidRDefault="00A85A36" w:rsidP="00A85A36">
      <w:pPr>
        <w:pStyle w:val="a3"/>
        <w:numPr>
          <w:ilvl w:val="0"/>
          <w:numId w:val="28"/>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性別平等業務相關人員</w:t>
      </w:r>
      <w:r w:rsidRPr="00D2796E">
        <w:rPr>
          <w:rFonts w:ascii="Times New Roman" w:eastAsia="標楷體" w:hAnsi="Times New Roman" w:cs="Times New Roman"/>
          <w:color w:val="000000" w:themeColor="text1"/>
          <w:sz w:val="28"/>
          <w:szCs w:val="28"/>
        </w:rPr>
        <w:t>(</w:t>
      </w:r>
      <w:proofErr w:type="gramStart"/>
      <w:r w:rsidRPr="00D2796E">
        <w:rPr>
          <w:rFonts w:ascii="Times New Roman" w:eastAsia="標楷體" w:hAnsi="Times New Roman" w:cs="Times New Roman"/>
          <w:color w:val="000000" w:themeColor="text1"/>
          <w:sz w:val="28"/>
          <w:szCs w:val="28"/>
        </w:rPr>
        <w:t>註</w:t>
      </w:r>
      <w:proofErr w:type="gramEnd"/>
      <w:r w:rsidRPr="00D2796E">
        <w:rPr>
          <w:rFonts w:ascii="Times New Roman" w:eastAsia="標楷體" w:hAnsi="Times New Roman" w:cs="Times New Roman"/>
          <w:color w:val="000000" w:themeColor="text1"/>
          <w:sz w:val="28"/>
          <w:szCs w:val="28"/>
        </w:rPr>
        <w:t>3)</w:t>
      </w:r>
      <w:r w:rsidRPr="00D2796E">
        <w:rPr>
          <w:rFonts w:ascii="Times New Roman" w:eastAsia="標楷體" w:hAnsi="Times New Roman" w:cs="Times New Roman"/>
          <w:color w:val="000000" w:themeColor="text1"/>
          <w:sz w:val="28"/>
          <w:szCs w:val="28"/>
        </w:rPr>
        <w:t>培力</w:t>
      </w:r>
    </w:p>
    <w:p w14:paraId="34F04767" w14:textId="77777777" w:rsidR="00A85A36" w:rsidRPr="00D2796E" w:rsidRDefault="00A85A36" w:rsidP="00A85A36">
      <w:pPr>
        <w:pStyle w:val="a3"/>
        <w:numPr>
          <w:ilvl w:val="0"/>
          <w:numId w:val="30"/>
        </w:numPr>
        <w:spacing w:line="400" w:lineRule="exact"/>
        <w:ind w:leftChars="0" w:left="1077" w:hanging="397"/>
        <w:jc w:val="both"/>
        <w:rPr>
          <w:rFonts w:eastAsia="標楷體"/>
          <w:color w:val="000000" w:themeColor="text1"/>
          <w:sz w:val="28"/>
          <w:szCs w:val="28"/>
        </w:rPr>
      </w:pPr>
      <w:r w:rsidRPr="00D2796E">
        <w:rPr>
          <w:rFonts w:eastAsia="標楷體"/>
          <w:color w:val="000000" w:themeColor="text1"/>
          <w:sz w:val="28"/>
          <w:szCs w:val="28"/>
        </w:rPr>
        <w:t>參加對象：</w:t>
      </w:r>
      <w:proofErr w:type="gramStart"/>
      <w:r w:rsidRPr="00D2796E">
        <w:rPr>
          <w:rFonts w:eastAsia="標楷體" w:hint="eastAsia"/>
          <w:color w:val="000000" w:themeColor="text1"/>
          <w:sz w:val="28"/>
          <w:szCs w:val="28"/>
        </w:rPr>
        <w:t>本局性平</w:t>
      </w:r>
      <w:proofErr w:type="gramEnd"/>
      <w:r w:rsidRPr="00D2796E">
        <w:rPr>
          <w:rFonts w:eastAsia="標楷體" w:hint="eastAsia"/>
          <w:color w:val="000000" w:themeColor="text1"/>
          <w:sz w:val="28"/>
          <w:szCs w:val="28"/>
        </w:rPr>
        <w:t>工作團隊成員</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性別平等督導、性別議題聯絡人及代理人</w:t>
      </w:r>
      <w:r w:rsidRPr="00D2796E">
        <w:rPr>
          <w:rFonts w:ascii="Times New Roman" w:eastAsia="標楷體" w:hAnsi="Times New Roman" w:cs="Times New Roman"/>
          <w:color w:val="000000" w:themeColor="text1"/>
          <w:sz w:val="28"/>
          <w:szCs w:val="28"/>
        </w:rPr>
        <w:t>)</w:t>
      </w:r>
      <w:r w:rsidRPr="00D2796E">
        <w:rPr>
          <w:rFonts w:eastAsia="標楷體" w:hint="eastAsia"/>
          <w:color w:val="000000" w:themeColor="text1"/>
          <w:sz w:val="28"/>
          <w:szCs w:val="28"/>
        </w:rPr>
        <w:t>、性別業務承辦同仁</w:t>
      </w:r>
      <w:r w:rsidRPr="00D2796E">
        <w:rPr>
          <w:rFonts w:eastAsia="標楷體"/>
          <w:color w:val="000000" w:themeColor="text1"/>
          <w:sz w:val="28"/>
          <w:szCs w:val="28"/>
        </w:rPr>
        <w:t>。</w:t>
      </w:r>
    </w:p>
    <w:p w14:paraId="00F00C78" w14:textId="77777777" w:rsidR="00A85A36" w:rsidRPr="00D2796E" w:rsidRDefault="00A85A36" w:rsidP="00A85A36">
      <w:pPr>
        <w:pStyle w:val="a3"/>
        <w:numPr>
          <w:ilvl w:val="0"/>
          <w:numId w:val="30"/>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color w:val="000000" w:themeColor="text1"/>
          <w:sz w:val="28"/>
          <w:szCs w:val="28"/>
        </w:rPr>
        <w:t>辦理內容：</w:t>
      </w:r>
      <w:r w:rsidRPr="00D2796E">
        <w:rPr>
          <w:rFonts w:ascii="Times New Roman" w:eastAsia="標楷體" w:hAnsi="Times New Roman" w:cs="Times New Roman"/>
          <w:color w:val="000000" w:themeColor="text1"/>
          <w:sz w:val="28"/>
          <w:szCs w:val="28"/>
        </w:rPr>
        <w:t>參加</w:t>
      </w:r>
      <w:r w:rsidRPr="00D2796E">
        <w:rPr>
          <w:rFonts w:eastAsia="標楷體"/>
          <w:color w:val="000000" w:themeColor="text1"/>
          <w:sz w:val="28"/>
          <w:szCs w:val="28"/>
        </w:rPr>
        <w:t>性</w:t>
      </w:r>
      <w:r w:rsidRPr="00D2796E">
        <w:rPr>
          <w:rFonts w:eastAsia="標楷體" w:hint="eastAsia"/>
          <w:color w:val="000000" w:themeColor="text1"/>
          <w:sz w:val="28"/>
          <w:szCs w:val="28"/>
        </w:rPr>
        <w:t>別平等辦公室</w:t>
      </w:r>
      <w:r w:rsidRPr="00D2796E">
        <w:rPr>
          <w:rFonts w:eastAsia="標楷體"/>
          <w:color w:val="000000" w:themeColor="text1"/>
          <w:sz w:val="28"/>
          <w:szCs w:val="28"/>
        </w:rPr>
        <w:t>辦理</w:t>
      </w:r>
      <w:r w:rsidRPr="00D2796E">
        <w:rPr>
          <w:rFonts w:eastAsia="標楷體" w:hint="eastAsia"/>
          <w:color w:val="000000" w:themeColor="text1"/>
          <w:sz w:val="28"/>
          <w:szCs w:val="28"/>
        </w:rPr>
        <w:t>之</w:t>
      </w:r>
      <w:r w:rsidRPr="00D2796E">
        <w:rPr>
          <w:rFonts w:eastAsia="標楷體"/>
          <w:color w:val="000000" w:themeColor="text1"/>
          <w:sz w:val="28"/>
          <w:szCs w:val="28"/>
        </w:rPr>
        <w:t>性別主流化、具體行動措施、與民間組織</w:t>
      </w:r>
      <w:r w:rsidRPr="00D2796E">
        <w:rPr>
          <w:rFonts w:eastAsia="標楷體"/>
          <w:color w:val="000000" w:themeColor="text1"/>
          <w:sz w:val="28"/>
          <w:szCs w:val="28"/>
        </w:rPr>
        <w:t>/</w:t>
      </w:r>
      <w:r w:rsidRPr="00D2796E">
        <w:rPr>
          <w:rFonts w:eastAsia="標楷體"/>
          <w:color w:val="000000" w:themeColor="text1"/>
          <w:sz w:val="28"/>
          <w:szCs w:val="28"/>
        </w:rPr>
        <w:t>企業</w:t>
      </w:r>
      <w:r w:rsidRPr="00D2796E">
        <w:rPr>
          <w:rFonts w:eastAsia="標楷體"/>
          <w:color w:val="000000" w:themeColor="text1"/>
          <w:sz w:val="28"/>
          <w:szCs w:val="28"/>
        </w:rPr>
        <w:t>/</w:t>
      </w:r>
      <w:r w:rsidRPr="00D2796E">
        <w:rPr>
          <w:rFonts w:eastAsia="標楷體"/>
          <w:color w:val="000000" w:themeColor="text1"/>
          <w:sz w:val="28"/>
          <w:szCs w:val="28"/>
        </w:rPr>
        <w:t>鄰里社區合作、跨局處合作等相關</w:t>
      </w:r>
      <w:proofErr w:type="gramStart"/>
      <w:r w:rsidRPr="00D2796E">
        <w:rPr>
          <w:rFonts w:eastAsia="標楷體"/>
          <w:color w:val="000000" w:themeColor="text1"/>
          <w:sz w:val="28"/>
          <w:szCs w:val="28"/>
        </w:rPr>
        <w:t>議題之培力</w:t>
      </w:r>
      <w:proofErr w:type="gramEnd"/>
      <w:r w:rsidRPr="00D2796E">
        <w:rPr>
          <w:rFonts w:eastAsia="標楷體"/>
          <w:color w:val="000000" w:themeColor="text1"/>
          <w:sz w:val="28"/>
          <w:szCs w:val="28"/>
        </w:rPr>
        <w:t>課程</w:t>
      </w:r>
      <w:r w:rsidRPr="00D2796E">
        <w:rPr>
          <w:rFonts w:ascii="Times New Roman" w:eastAsia="標楷體" w:hAnsi="Times New Roman" w:cs="Times New Roman"/>
          <w:color w:val="000000" w:themeColor="text1"/>
          <w:sz w:val="28"/>
          <w:szCs w:val="28"/>
        </w:rPr>
        <w:t>，每人每年應完成</w:t>
      </w:r>
      <w:r w:rsidRPr="00D2796E">
        <w:rPr>
          <w:rFonts w:ascii="Times New Roman" w:eastAsia="標楷體" w:hAnsi="Times New Roman" w:cs="Times New Roman"/>
          <w:color w:val="000000" w:themeColor="text1"/>
          <w:sz w:val="28"/>
          <w:szCs w:val="28"/>
        </w:rPr>
        <w:t>10</w:t>
      </w:r>
      <w:r w:rsidRPr="00D2796E">
        <w:rPr>
          <w:rFonts w:ascii="Times New Roman" w:eastAsia="標楷體" w:hAnsi="Times New Roman" w:cs="Times New Roman"/>
          <w:color w:val="000000" w:themeColor="text1"/>
          <w:sz w:val="28"/>
          <w:szCs w:val="28"/>
        </w:rPr>
        <w:t>小時以上訓練，其時數可將其他性別平等相關訓練研習時數納入</w:t>
      </w:r>
      <w:proofErr w:type="gramStart"/>
      <w:r w:rsidRPr="00D2796E">
        <w:rPr>
          <w:rFonts w:ascii="Times New Roman" w:eastAsia="標楷體" w:hAnsi="Times New Roman" w:cs="Times New Roman"/>
          <w:color w:val="000000" w:themeColor="text1"/>
          <w:sz w:val="28"/>
          <w:szCs w:val="28"/>
        </w:rPr>
        <w:t>併</w:t>
      </w:r>
      <w:proofErr w:type="gramEnd"/>
      <w:r w:rsidRPr="00D2796E">
        <w:rPr>
          <w:rFonts w:ascii="Times New Roman" w:eastAsia="標楷體" w:hAnsi="Times New Roman" w:cs="Times New Roman"/>
          <w:color w:val="000000" w:themeColor="text1"/>
          <w:sz w:val="28"/>
          <w:szCs w:val="28"/>
        </w:rPr>
        <w:t>計。</w:t>
      </w:r>
    </w:p>
    <w:p w14:paraId="141B071A" w14:textId="77777777" w:rsidR="00A85A36" w:rsidRPr="00D2796E" w:rsidRDefault="00A85A36" w:rsidP="00A85A36">
      <w:pPr>
        <w:pStyle w:val="a3"/>
        <w:numPr>
          <w:ilvl w:val="0"/>
          <w:numId w:val="6"/>
        </w:numPr>
        <w:spacing w:line="400" w:lineRule="exact"/>
        <w:ind w:leftChars="0" w:left="851" w:hanging="567"/>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b/>
          <w:color w:val="000000" w:themeColor="text1"/>
          <w:sz w:val="28"/>
          <w:szCs w:val="28"/>
        </w:rPr>
        <w:t>性別統計與性別分析</w:t>
      </w:r>
    </w:p>
    <w:p w14:paraId="6BEC2A10" w14:textId="77777777" w:rsidR="00A85A36" w:rsidRPr="00D2796E" w:rsidRDefault="00A85A36" w:rsidP="00A85A36">
      <w:pPr>
        <w:pStyle w:val="a3"/>
        <w:numPr>
          <w:ilvl w:val="0"/>
          <w:numId w:val="8"/>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辦理內容：</w:t>
      </w:r>
    </w:p>
    <w:p w14:paraId="5E16A74D" w14:textId="77777777" w:rsidR="00A85A36" w:rsidRPr="00D2796E" w:rsidRDefault="00A85A36" w:rsidP="00A85A36">
      <w:pPr>
        <w:pStyle w:val="2"/>
        <w:numPr>
          <w:ilvl w:val="1"/>
          <w:numId w:val="19"/>
        </w:numPr>
        <w:spacing w:line="400" w:lineRule="exact"/>
        <w:ind w:leftChars="0" w:left="1077" w:hanging="397"/>
        <w:jc w:val="both"/>
        <w:rPr>
          <w:rFonts w:eastAsia="標楷體"/>
          <w:color w:val="000000" w:themeColor="text1"/>
          <w:sz w:val="28"/>
          <w:szCs w:val="28"/>
        </w:rPr>
      </w:pPr>
      <w:r w:rsidRPr="00D2796E">
        <w:rPr>
          <w:rFonts w:eastAsia="標楷體"/>
          <w:color w:val="000000" w:themeColor="text1"/>
          <w:sz w:val="28"/>
          <w:szCs w:val="28"/>
        </w:rPr>
        <w:t>性別統計</w:t>
      </w:r>
      <w:r w:rsidRPr="00D2796E">
        <w:rPr>
          <w:rFonts w:eastAsia="標楷體"/>
          <w:color w:val="000000" w:themeColor="text1"/>
          <w:sz w:val="28"/>
          <w:szCs w:val="28"/>
        </w:rPr>
        <w:t>(</w:t>
      </w:r>
      <w:proofErr w:type="gramStart"/>
      <w:r w:rsidRPr="00D2796E">
        <w:rPr>
          <w:rFonts w:eastAsia="標楷體"/>
          <w:color w:val="000000" w:themeColor="text1"/>
          <w:sz w:val="28"/>
          <w:szCs w:val="28"/>
        </w:rPr>
        <w:t>註</w:t>
      </w:r>
      <w:proofErr w:type="gramEnd"/>
      <w:r w:rsidRPr="00D2796E">
        <w:rPr>
          <w:rFonts w:eastAsia="標楷體" w:hint="eastAsia"/>
          <w:color w:val="000000" w:themeColor="text1"/>
          <w:sz w:val="28"/>
          <w:szCs w:val="28"/>
        </w:rPr>
        <w:t>4</w:t>
      </w:r>
      <w:proofErr w:type="gramStart"/>
      <w:r w:rsidRPr="00D2796E">
        <w:rPr>
          <w:rFonts w:eastAsia="標楷體"/>
          <w:color w:val="000000" w:themeColor="text1"/>
          <w:sz w:val="28"/>
          <w:szCs w:val="28"/>
        </w:rPr>
        <w:t>）</w:t>
      </w:r>
      <w:proofErr w:type="gramEnd"/>
      <w:r w:rsidRPr="00D2796E">
        <w:rPr>
          <w:rFonts w:eastAsia="標楷體"/>
          <w:color w:val="000000" w:themeColor="text1"/>
          <w:sz w:val="28"/>
          <w:szCs w:val="28"/>
        </w:rPr>
        <w:t>：於</w:t>
      </w:r>
      <w:r w:rsidRPr="00D2796E">
        <w:rPr>
          <w:rFonts w:eastAsia="標楷體"/>
          <w:color w:val="000000" w:themeColor="text1"/>
          <w:sz w:val="28"/>
          <w:szCs w:val="28"/>
        </w:rPr>
        <w:t>112</w:t>
      </w:r>
      <w:r w:rsidRPr="00D2796E">
        <w:rPr>
          <w:rFonts w:eastAsia="標楷體"/>
          <w:color w:val="000000" w:themeColor="text1"/>
          <w:sz w:val="28"/>
          <w:szCs w:val="28"/>
        </w:rPr>
        <w:t>及</w:t>
      </w:r>
      <w:r w:rsidRPr="00D2796E">
        <w:rPr>
          <w:rFonts w:eastAsia="標楷體"/>
          <w:color w:val="000000" w:themeColor="text1"/>
          <w:sz w:val="28"/>
          <w:szCs w:val="28"/>
        </w:rPr>
        <w:t>114</w:t>
      </w:r>
      <w:r w:rsidRPr="00D2796E">
        <w:rPr>
          <w:rFonts w:eastAsia="標楷體"/>
          <w:color w:val="000000" w:themeColor="text1"/>
          <w:sz w:val="28"/>
          <w:szCs w:val="28"/>
        </w:rPr>
        <w:t>年提報性別統計運用成果，</w:t>
      </w:r>
      <w:r w:rsidRPr="00D2796E">
        <w:rPr>
          <w:rFonts w:eastAsia="標楷體"/>
          <w:color w:val="000000" w:themeColor="text1"/>
          <w:sz w:val="28"/>
          <w:szCs w:val="28"/>
        </w:rPr>
        <w:t>113</w:t>
      </w:r>
      <w:r w:rsidRPr="00D2796E">
        <w:rPr>
          <w:rFonts w:eastAsia="標楷體"/>
          <w:color w:val="000000" w:themeColor="text1"/>
          <w:sz w:val="28"/>
          <w:szCs w:val="28"/>
        </w:rPr>
        <w:t>及</w:t>
      </w:r>
      <w:r w:rsidRPr="00D2796E">
        <w:rPr>
          <w:rFonts w:eastAsia="標楷體"/>
          <w:color w:val="000000" w:themeColor="text1"/>
          <w:sz w:val="28"/>
          <w:szCs w:val="28"/>
        </w:rPr>
        <w:t>115</w:t>
      </w:r>
      <w:r w:rsidRPr="00D2796E">
        <w:rPr>
          <w:rFonts w:eastAsia="標楷體"/>
          <w:color w:val="000000" w:themeColor="text1"/>
          <w:sz w:val="28"/>
          <w:szCs w:val="28"/>
        </w:rPr>
        <w:t>年提報新增性別統計指標；辦理方式說明如下：</w:t>
      </w:r>
    </w:p>
    <w:p w14:paraId="261D2465" w14:textId="77777777" w:rsidR="00A85A36" w:rsidRPr="00D2796E" w:rsidRDefault="00A85A36" w:rsidP="00A85A36">
      <w:pPr>
        <w:pStyle w:val="2"/>
        <w:numPr>
          <w:ilvl w:val="0"/>
          <w:numId w:val="31"/>
        </w:numPr>
        <w:spacing w:line="400" w:lineRule="exact"/>
        <w:ind w:leftChars="350" w:left="1120" w:hangingChars="100" w:hanging="280"/>
        <w:jc w:val="both"/>
        <w:rPr>
          <w:rFonts w:eastAsia="標楷體"/>
          <w:color w:val="000000" w:themeColor="text1"/>
          <w:sz w:val="28"/>
          <w:szCs w:val="28"/>
        </w:rPr>
      </w:pPr>
      <w:r w:rsidRPr="00D2796E">
        <w:rPr>
          <w:rFonts w:eastAsia="標楷體"/>
          <w:color w:val="000000" w:themeColor="text1"/>
          <w:sz w:val="28"/>
          <w:szCs w:val="28"/>
        </w:rPr>
        <w:t>新增性別統計指標：應持續充實及檢討性別統計</w:t>
      </w:r>
      <w:r w:rsidRPr="00D2796E">
        <w:rPr>
          <w:rFonts w:eastAsia="標楷體"/>
          <w:color w:val="000000" w:themeColor="text1"/>
          <w:sz w:val="28"/>
          <w:szCs w:val="28"/>
        </w:rPr>
        <w:t>(</w:t>
      </w:r>
      <w:r w:rsidRPr="00D2796E">
        <w:rPr>
          <w:rFonts w:eastAsia="標楷體"/>
          <w:color w:val="000000" w:themeColor="text1"/>
          <w:sz w:val="28"/>
          <w:szCs w:val="28"/>
        </w:rPr>
        <w:t>含</w:t>
      </w:r>
      <w:proofErr w:type="gramStart"/>
      <w:r w:rsidRPr="00D2796E">
        <w:rPr>
          <w:rFonts w:eastAsia="標楷體"/>
          <w:color w:val="000000" w:themeColor="text1"/>
          <w:sz w:val="28"/>
          <w:szCs w:val="28"/>
        </w:rPr>
        <w:t>複</w:t>
      </w:r>
      <w:proofErr w:type="gramEnd"/>
      <w:r w:rsidRPr="00D2796E">
        <w:rPr>
          <w:rFonts w:eastAsia="標楷體"/>
          <w:color w:val="000000" w:themeColor="text1"/>
          <w:sz w:val="28"/>
          <w:szCs w:val="28"/>
        </w:rPr>
        <w:t>分類</w:t>
      </w:r>
      <w:r w:rsidRPr="00D2796E">
        <w:rPr>
          <w:rFonts w:eastAsia="標楷體"/>
          <w:color w:val="000000" w:themeColor="text1"/>
          <w:sz w:val="28"/>
          <w:szCs w:val="28"/>
        </w:rPr>
        <w:t>)</w:t>
      </w:r>
      <w:r w:rsidRPr="00D2796E">
        <w:rPr>
          <w:rFonts w:eastAsia="標楷體"/>
          <w:color w:val="000000" w:themeColor="text1"/>
          <w:sz w:val="28"/>
          <w:szCs w:val="28"/>
        </w:rPr>
        <w:t>，且於當年度</w:t>
      </w:r>
      <w:r w:rsidRPr="00D2796E">
        <w:rPr>
          <w:rFonts w:eastAsia="標楷體"/>
          <w:color w:val="000000" w:themeColor="text1"/>
          <w:sz w:val="28"/>
          <w:szCs w:val="28"/>
        </w:rPr>
        <w:t>10</w:t>
      </w:r>
      <w:r w:rsidRPr="00D2796E">
        <w:rPr>
          <w:rFonts w:eastAsia="標楷體"/>
          <w:color w:val="000000" w:themeColor="text1"/>
          <w:sz w:val="28"/>
          <w:szCs w:val="28"/>
        </w:rPr>
        <w:t>月底前新增</w:t>
      </w:r>
      <w:r w:rsidRPr="00D2796E">
        <w:rPr>
          <w:rFonts w:eastAsia="標楷體" w:hint="eastAsia"/>
          <w:color w:val="000000" w:themeColor="text1"/>
          <w:sz w:val="28"/>
          <w:szCs w:val="28"/>
        </w:rPr>
        <w:t>2</w:t>
      </w:r>
      <w:r w:rsidRPr="00D2796E">
        <w:rPr>
          <w:rFonts w:eastAsia="標楷體"/>
          <w:color w:val="000000" w:themeColor="text1"/>
          <w:sz w:val="28"/>
          <w:szCs w:val="28"/>
        </w:rPr>
        <w:t>項以上</w:t>
      </w:r>
      <w:r w:rsidRPr="00D2796E">
        <w:rPr>
          <w:rFonts w:eastAsia="標楷體" w:hint="eastAsia"/>
          <w:color w:val="000000" w:themeColor="text1"/>
          <w:sz w:val="28"/>
          <w:szCs w:val="28"/>
        </w:rPr>
        <w:t>與業務相關</w:t>
      </w:r>
      <w:r w:rsidRPr="00D2796E">
        <w:rPr>
          <w:rFonts w:eastAsia="標楷體"/>
          <w:color w:val="000000" w:themeColor="text1"/>
          <w:sz w:val="28"/>
          <w:szCs w:val="28"/>
        </w:rPr>
        <w:t>性別統計指標，並經本局專責小組會議通過後，依決議於「桃園市公務統計行政管理系統</w:t>
      </w:r>
      <w:proofErr w:type="gramStart"/>
      <w:r w:rsidRPr="00D2796E">
        <w:rPr>
          <w:rFonts w:eastAsia="標楷體"/>
          <w:color w:val="000000" w:themeColor="text1"/>
          <w:sz w:val="28"/>
          <w:szCs w:val="28"/>
        </w:rPr>
        <w:t>–</w:t>
      </w:r>
      <w:proofErr w:type="gramEnd"/>
      <w:r w:rsidRPr="00D2796E">
        <w:rPr>
          <w:rFonts w:eastAsia="標楷體"/>
          <w:color w:val="000000" w:themeColor="text1"/>
          <w:sz w:val="28"/>
          <w:szCs w:val="28"/>
        </w:rPr>
        <w:t>性別統計指標管理功能」執行新增及審核作業，並發布於本局網頁。</w:t>
      </w:r>
    </w:p>
    <w:p w14:paraId="4709EDFD" w14:textId="77777777" w:rsidR="00A85A36" w:rsidRPr="00D2796E" w:rsidRDefault="00A85A36" w:rsidP="00A85A36">
      <w:pPr>
        <w:pStyle w:val="2"/>
        <w:numPr>
          <w:ilvl w:val="0"/>
          <w:numId w:val="31"/>
        </w:numPr>
        <w:spacing w:line="400" w:lineRule="exact"/>
        <w:ind w:leftChars="350" w:left="1120" w:hangingChars="100" w:hanging="280"/>
        <w:jc w:val="both"/>
        <w:rPr>
          <w:rFonts w:eastAsia="標楷體"/>
          <w:color w:val="000000" w:themeColor="text1"/>
          <w:sz w:val="28"/>
          <w:szCs w:val="28"/>
        </w:rPr>
      </w:pPr>
      <w:r w:rsidRPr="00D2796E">
        <w:rPr>
          <w:rFonts w:eastAsia="標楷體"/>
          <w:color w:val="000000" w:themeColor="text1"/>
          <w:sz w:val="28"/>
          <w:szCs w:val="28"/>
        </w:rPr>
        <w:t>運用性別統計成果：應廣泛運用性別統計於政策措施，且提報運用成果</w:t>
      </w:r>
      <w:r w:rsidRPr="00D2796E">
        <w:rPr>
          <w:rFonts w:eastAsia="標楷體"/>
          <w:color w:val="000000" w:themeColor="text1"/>
          <w:sz w:val="28"/>
          <w:szCs w:val="28"/>
        </w:rPr>
        <w:t>(</w:t>
      </w:r>
      <w:r w:rsidRPr="00D2796E">
        <w:rPr>
          <w:rFonts w:eastAsia="標楷體"/>
          <w:color w:val="000000" w:themeColor="text1"/>
          <w:sz w:val="28"/>
          <w:szCs w:val="28"/>
        </w:rPr>
        <w:t>附表</w:t>
      </w:r>
      <w:r w:rsidRPr="00D2796E">
        <w:rPr>
          <w:rFonts w:eastAsia="標楷體" w:hint="eastAsia"/>
          <w:color w:val="000000" w:themeColor="text1"/>
          <w:sz w:val="28"/>
          <w:szCs w:val="28"/>
        </w:rPr>
        <w:t>4</w:t>
      </w:r>
      <w:r w:rsidRPr="00D2796E">
        <w:rPr>
          <w:rFonts w:eastAsia="標楷體"/>
          <w:color w:val="000000" w:themeColor="text1"/>
          <w:sz w:val="28"/>
          <w:szCs w:val="28"/>
        </w:rPr>
        <w:t>)</w:t>
      </w:r>
      <w:r w:rsidRPr="00D2796E">
        <w:rPr>
          <w:rFonts w:eastAsia="標楷體"/>
          <w:color w:val="000000" w:themeColor="text1"/>
          <w:sz w:val="28"/>
          <w:szCs w:val="28"/>
        </w:rPr>
        <w:t>供本局專責小組會議</w:t>
      </w:r>
      <w:r w:rsidRPr="00D2796E">
        <w:rPr>
          <w:rFonts w:eastAsia="標楷體" w:hint="eastAsia"/>
          <w:color w:val="000000" w:themeColor="text1"/>
          <w:sz w:val="28"/>
          <w:szCs w:val="28"/>
        </w:rPr>
        <w:t>通過</w:t>
      </w:r>
      <w:r w:rsidRPr="00D2796E">
        <w:rPr>
          <w:rFonts w:eastAsia="標楷體"/>
          <w:color w:val="000000" w:themeColor="text1"/>
          <w:sz w:val="28"/>
          <w:szCs w:val="28"/>
        </w:rPr>
        <w:t>，並於當年度</w:t>
      </w:r>
      <w:r w:rsidRPr="00D2796E">
        <w:rPr>
          <w:rFonts w:eastAsia="標楷體"/>
          <w:color w:val="000000" w:themeColor="text1"/>
          <w:sz w:val="28"/>
          <w:szCs w:val="28"/>
        </w:rPr>
        <w:t>10</w:t>
      </w:r>
      <w:r w:rsidRPr="00D2796E">
        <w:rPr>
          <w:rFonts w:eastAsia="標楷體"/>
          <w:color w:val="000000" w:themeColor="text1"/>
          <w:sz w:val="28"/>
          <w:szCs w:val="28"/>
        </w:rPr>
        <w:t>月底前將相關資料提交主計處，資料之運用說明如下：</w:t>
      </w:r>
    </w:p>
    <w:p w14:paraId="62FBDEB2" w14:textId="77777777" w:rsidR="00A85A36" w:rsidRPr="00D2796E" w:rsidRDefault="00A85A36" w:rsidP="00A85A36">
      <w:pPr>
        <w:pStyle w:val="2"/>
        <w:numPr>
          <w:ilvl w:val="0"/>
          <w:numId w:val="32"/>
        </w:numPr>
        <w:spacing w:line="400" w:lineRule="exact"/>
        <w:ind w:leftChars="0" w:left="1418" w:hanging="284"/>
        <w:jc w:val="both"/>
        <w:rPr>
          <w:rFonts w:eastAsia="標楷體"/>
          <w:color w:val="000000" w:themeColor="text1"/>
          <w:sz w:val="28"/>
          <w:szCs w:val="28"/>
        </w:rPr>
      </w:pPr>
      <w:r w:rsidRPr="00D2796E">
        <w:rPr>
          <w:rFonts w:eastAsia="標楷體"/>
          <w:color w:val="000000" w:themeColor="text1"/>
          <w:sz w:val="28"/>
          <w:szCs w:val="28"/>
        </w:rPr>
        <w:t>應將性別統計運用於政策、方案、措施、新聞稿、致詞稿、施政成果、政策宣傳、人才拔</w:t>
      </w:r>
      <w:proofErr w:type="gramStart"/>
      <w:r w:rsidRPr="00D2796E">
        <w:rPr>
          <w:rFonts w:eastAsia="標楷體"/>
          <w:color w:val="000000" w:themeColor="text1"/>
          <w:sz w:val="28"/>
          <w:szCs w:val="28"/>
        </w:rPr>
        <w:t>擢</w:t>
      </w:r>
      <w:proofErr w:type="gramEnd"/>
      <w:r w:rsidRPr="00D2796E">
        <w:rPr>
          <w:rFonts w:eastAsia="標楷體"/>
          <w:color w:val="000000" w:themeColor="text1"/>
          <w:sz w:val="28"/>
          <w:szCs w:val="28"/>
        </w:rPr>
        <w:t>、活動規劃或其他相關運用等項目</w:t>
      </w:r>
      <w:r w:rsidRPr="00D2796E">
        <w:rPr>
          <w:rFonts w:eastAsia="標楷體"/>
          <w:color w:val="000000" w:themeColor="text1"/>
          <w:sz w:val="28"/>
          <w:szCs w:val="28"/>
        </w:rPr>
        <w:t>(</w:t>
      </w:r>
      <w:r w:rsidRPr="00D2796E">
        <w:rPr>
          <w:rFonts w:eastAsia="標楷體"/>
          <w:color w:val="000000" w:themeColor="text1"/>
          <w:sz w:val="28"/>
          <w:szCs w:val="28"/>
        </w:rPr>
        <w:t>不包含性別分析、性別影響評估及性別圖像</w:t>
      </w:r>
      <w:r w:rsidRPr="00D2796E">
        <w:rPr>
          <w:rFonts w:eastAsia="標楷體"/>
          <w:color w:val="000000" w:themeColor="text1"/>
          <w:sz w:val="28"/>
          <w:szCs w:val="28"/>
        </w:rPr>
        <w:t>)</w:t>
      </w:r>
      <w:r w:rsidRPr="00D2796E">
        <w:rPr>
          <w:rFonts w:eastAsia="標楷體"/>
          <w:color w:val="000000" w:themeColor="text1"/>
          <w:sz w:val="28"/>
          <w:szCs w:val="28"/>
        </w:rPr>
        <w:t>；本局運用成果提報</w:t>
      </w:r>
      <w:r w:rsidRPr="00D2796E">
        <w:rPr>
          <w:rFonts w:eastAsia="標楷體"/>
          <w:color w:val="000000" w:themeColor="text1"/>
          <w:sz w:val="28"/>
          <w:szCs w:val="28"/>
        </w:rPr>
        <w:t>2</w:t>
      </w:r>
      <w:r w:rsidRPr="00D2796E">
        <w:rPr>
          <w:rFonts w:eastAsia="標楷體"/>
          <w:color w:val="000000" w:themeColor="text1"/>
          <w:sz w:val="28"/>
          <w:szCs w:val="28"/>
        </w:rPr>
        <w:t>項</w:t>
      </w:r>
      <w:r w:rsidRPr="00D2796E">
        <w:rPr>
          <w:rFonts w:eastAsia="標楷體"/>
          <w:color w:val="000000" w:themeColor="text1"/>
          <w:sz w:val="28"/>
          <w:szCs w:val="28"/>
        </w:rPr>
        <w:t>(</w:t>
      </w:r>
      <w:r w:rsidRPr="00D2796E">
        <w:rPr>
          <w:rFonts w:eastAsia="標楷體"/>
          <w:color w:val="000000" w:themeColor="text1"/>
          <w:sz w:val="28"/>
          <w:szCs w:val="28"/>
        </w:rPr>
        <w:t>含</w:t>
      </w:r>
      <w:r w:rsidRPr="00D2796E">
        <w:rPr>
          <w:rFonts w:eastAsia="標楷體"/>
          <w:color w:val="000000" w:themeColor="text1"/>
          <w:sz w:val="28"/>
          <w:szCs w:val="28"/>
        </w:rPr>
        <w:t>)</w:t>
      </w:r>
      <w:r w:rsidRPr="00D2796E">
        <w:rPr>
          <w:rFonts w:eastAsia="標楷體"/>
          <w:color w:val="000000" w:themeColor="text1"/>
          <w:sz w:val="28"/>
          <w:szCs w:val="28"/>
        </w:rPr>
        <w:t>以上。</w:t>
      </w:r>
    </w:p>
    <w:p w14:paraId="739B400E" w14:textId="77777777" w:rsidR="00A85A36" w:rsidRPr="00D2796E" w:rsidRDefault="00A85A36" w:rsidP="00A85A36">
      <w:pPr>
        <w:pStyle w:val="2"/>
        <w:numPr>
          <w:ilvl w:val="0"/>
          <w:numId w:val="32"/>
        </w:numPr>
        <w:spacing w:line="400" w:lineRule="exact"/>
        <w:ind w:leftChars="0" w:left="1418" w:hanging="284"/>
        <w:jc w:val="both"/>
        <w:rPr>
          <w:rFonts w:eastAsia="標楷體"/>
          <w:color w:val="000000" w:themeColor="text1"/>
          <w:sz w:val="28"/>
          <w:szCs w:val="28"/>
        </w:rPr>
      </w:pPr>
      <w:r w:rsidRPr="00D2796E">
        <w:rPr>
          <w:rFonts w:eastAsia="標楷體"/>
          <w:color w:val="000000" w:themeColor="text1"/>
          <w:sz w:val="28"/>
          <w:szCs w:val="28"/>
        </w:rPr>
        <w:t>前項運用不限性別統計資料產製年度，且中央單位或其他機關之性別統計資料皆屬運用範圍。</w:t>
      </w:r>
    </w:p>
    <w:p w14:paraId="25F560C8" w14:textId="77777777" w:rsidR="00A85A36" w:rsidRPr="00D2796E" w:rsidRDefault="00A85A36" w:rsidP="00A85A36">
      <w:pPr>
        <w:pStyle w:val="2"/>
        <w:numPr>
          <w:ilvl w:val="0"/>
          <w:numId w:val="32"/>
        </w:numPr>
        <w:spacing w:line="400" w:lineRule="exact"/>
        <w:ind w:leftChars="0" w:left="1418" w:hanging="284"/>
        <w:jc w:val="both"/>
        <w:rPr>
          <w:rFonts w:eastAsia="標楷體"/>
          <w:color w:val="000000" w:themeColor="text1"/>
          <w:sz w:val="28"/>
          <w:szCs w:val="28"/>
        </w:rPr>
      </w:pPr>
      <w:r w:rsidRPr="00D2796E">
        <w:rPr>
          <w:rFonts w:eastAsia="標楷體"/>
          <w:color w:val="000000" w:themeColor="text1"/>
          <w:sz w:val="28"/>
          <w:szCs w:val="28"/>
        </w:rPr>
        <w:lastRenderedPageBreak/>
        <w:t>前項運用之性別統計如屬</w:t>
      </w:r>
      <w:proofErr w:type="gramStart"/>
      <w:r w:rsidRPr="00D2796E">
        <w:rPr>
          <w:rFonts w:eastAsia="標楷體"/>
          <w:color w:val="000000" w:themeColor="text1"/>
          <w:sz w:val="28"/>
          <w:szCs w:val="28"/>
        </w:rPr>
        <w:t>本局業管</w:t>
      </w:r>
      <w:proofErr w:type="gramEnd"/>
      <w:r w:rsidRPr="00D2796E">
        <w:rPr>
          <w:rFonts w:eastAsia="標楷體"/>
          <w:color w:val="000000" w:themeColor="text1"/>
          <w:sz w:val="28"/>
          <w:szCs w:val="28"/>
        </w:rPr>
        <w:t>業務且尚未納入本局性別統計指標，建請提報新增為性別統計指標。</w:t>
      </w:r>
    </w:p>
    <w:p w14:paraId="518EB0B2" w14:textId="77777777" w:rsidR="00A85A36" w:rsidRPr="00D2796E" w:rsidRDefault="00A85A36" w:rsidP="00A85A36">
      <w:pPr>
        <w:pStyle w:val="2"/>
        <w:numPr>
          <w:ilvl w:val="1"/>
          <w:numId w:val="19"/>
        </w:numPr>
        <w:spacing w:line="400" w:lineRule="exact"/>
        <w:ind w:leftChars="0" w:left="1077" w:hanging="397"/>
        <w:jc w:val="both"/>
        <w:rPr>
          <w:rFonts w:eastAsia="標楷體"/>
          <w:color w:val="000000" w:themeColor="text1"/>
          <w:sz w:val="28"/>
          <w:szCs w:val="28"/>
        </w:rPr>
      </w:pPr>
      <w:r w:rsidRPr="00D2796E">
        <w:rPr>
          <w:rFonts w:eastAsia="標楷體"/>
          <w:color w:val="000000" w:themeColor="text1"/>
          <w:sz w:val="28"/>
          <w:szCs w:val="28"/>
        </w:rPr>
        <w:t>性別分析</w:t>
      </w:r>
      <w:r w:rsidRPr="00D2796E">
        <w:rPr>
          <w:rFonts w:eastAsia="標楷體"/>
          <w:color w:val="000000" w:themeColor="text1"/>
          <w:sz w:val="28"/>
          <w:szCs w:val="28"/>
        </w:rPr>
        <w:t>(</w:t>
      </w:r>
      <w:proofErr w:type="gramStart"/>
      <w:r w:rsidRPr="00D2796E">
        <w:rPr>
          <w:rFonts w:eastAsia="標楷體"/>
          <w:color w:val="000000" w:themeColor="text1"/>
          <w:sz w:val="28"/>
          <w:szCs w:val="28"/>
        </w:rPr>
        <w:t>註</w:t>
      </w:r>
      <w:proofErr w:type="gramEnd"/>
      <w:r w:rsidRPr="00D2796E">
        <w:rPr>
          <w:rFonts w:eastAsia="標楷體" w:hint="eastAsia"/>
          <w:color w:val="000000" w:themeColor="text1"/>
          <w:sz w:val="28"/>
          <w:szCs w:val="28"/>
        </w:rPr>
        <w:t>5</w:t>
      </w:r>
      <w:proofErr w:type="gramStart"/>
      <w:r w:rsidRPr="00D2796E">
        <w:rPr>
          <w:rFonts w:eastAsia="標楷體"/>
          <w:color w:val="000000" w:themeColor="text1"/>
          <w:sz w:val="28"/>
          <w:szCs w:val="28"/>
        </w:rPr>
        <w:t>）</w:t>
      </w:r>
      <w:proofErr w:type="gramEnd"/>
      <w:r w:rsidRPr="00D2796E">
        <w:rPr>
          <w:rFonts w:eastAsia="標楷體"/>
          <w:color w:val="000000" w:themeColor="text1"/>
          <w:sz w:val="28"/>
          <w:szCs w:val="28"/>
        </w:rPr>
        <w:t>：會計室協助各科室運用性別統計量化或質化資料，據以分析不同性別在經濟、社會、文化、環境和政治結構等面向下，處境的差異及現象的成因，藉以瞭解性別處境，調整計畫資源配置，或延伸發展其他計畫以處理相關議題</w:t>
      </w:r>
      <w:r w:rsidRPr="00D2796E">
        <w:rPr>
          <w:rFonts w:eastAsia="微軟正黑體"/>
          <w:color w:val="000000" w:themeColor="text1"/>
          <w:sz w:val="28"/>
          <w:szCs w:val="28"/>
        </w:rPr>
        <w:t>，</w:t>
      </w:r>
      <w:r w:rsidRPr="00D2796E">
        <w:rPr>
          <w:rFonts w:eastAsia="標楷體"/>
          <w:color w:val="000000" w:themeColor="text1"/>
          <w:sz w:val="28"/>
          <w:szCs w:val="28"/>
        </w:rPr>
        <w:t>每年應新增至少</w:t>
      </w:r>
      <w:r w:rsidRPr="00D2796E">
        <w:rPr>
          <w:rFonts w:eastAsia="標楷體"/>
          <w:color w:val="000000" w:themeColor="text1"/>
          <w:sz w:val="28"/>
          <w:szCs w:val="28"/>
        </w:rPr>
        <w:t>1</w:t>
      </w:r>
      <w:r w:rsidRPr="00D2796E">
        <w:rPr>
          <w:rFonts w:eastAsia="標楷體"/>
          <w:color w:val="000000" w:themeColor="text1"/>
          <w:sz w:val="28"/>
          <w:szCs w:val="28"/>
        </w:rPr>
        <w:t>篇性別分析</w:t>
      </w:r>
      <w:r w:rsidRPr="00D2796E">
        <w:rPr>
          <w:rFonts w:eastAsia="標楷體" w:hint="eastAsia"/>
          <w:color w:val="000000" w:themeColor="text1"/>
          <w:sz w:val="28"/>
          <w:szCs w:val="28"/>
        </w:rPr>
        <w:t>(</w:t>
      </w:r>
      <w:r w:rsidRPr="00D2796E">
        <w:rPr>
          <w:rFonts w:eastAsia="標楷體" w:hint="eastAsia"/>
          <w:color w:val="000000" w:themeColor="text1"/>
          <w:sz w:val="28"/>
          <w:szCs w:val="28"/>
        </w:rPr>
        <w:t>內容應含</w:t>
      </w:r>
      <w:r w:rsidRPr="00D2796E">
        <w:rPr>
          <w:rFonts w:eastAsia="標楷體" w:hint="eastAsia"/>
          <w:color w:val="000000" w:themeColor="text1"/>
          <w:sz w:val="28"/>
          <w:szCs w:val="28"/>
        </w:rPr>
        <w:t>1</w:t>
      </w:r>
      <w:r w:rsidRPr="00D2796E">
        <w:rPr>
          <w:rFonts w:eastAsia="標楷體"/>
          <w:color w:val="000000" w:themeColor="text1"/>
          <w:sz w:val="28"/>
          <w:szCs w:val="28"/>
        </w:rPr>
        <w:t>.</w:t>
      </w:r>
      <w:r w:rsidRPr="00D2796E">
        <w:rPr>
          <w:rFonts w:eastAsia="標楷體" w:hint="eastAsia"/>
          <w:color w:val="000000" w:themeColor="text1"/>
          <w:sz w:val="28"/>
          <w:szCs w:val="28"/>
        </w:rPr>
        <w:t>性別資料使用與分析、</w:t>
      </w:r>
      <w:r w:rsidRPr="00D2796E">
        <w:rPr>
          <w:rFonts w:eastAsia="標楷體" w:hint="eastAsia"/>
          <w:color w:val="000000" w:themeColor="text1"/>
          <w:sz w:val="28"/>
          <w:szCs w:val="28"/>
        </w:rPr>
        <w:t>2</w:t>
      </w:r>
      <w:r w:rsidRPr="00D2796E">
        <w:rPr>
          <w:rFonts w:eastAsia="標楷體"/>
          <w:color w:val="000000" w:themeColor="text1"/>
          <w:sz w:val="28"/>
          <w:szCs w:val="28"/>
        </w:rPr>
        <w:t>.</w:t>
      </w:r>
      <w:r w:rsidRPr="00D2796E">
        <w:rPr>
          <w:rFonts w:eastAsia="標楷體" w:hint="eastAsia"/>
          <w:color w:val="000000" w:themeColor="text1"/>
          <w:sz w:val="28"/>
          <w:szCs w:val="28"/>
        </w:rPr>
        <w:t>應用深化程度，</w:t>
      </w:r>
      <w:r w:rsidRPr="00D2796E">
        <w:rPr>
          <w:rFonts w:eastAsia="標楷體" w:hint="eastAsia"/>
          <w:color w:val="000000" w:themeColor="text1"/>
          <w:sz w:val="28"/>
          <w:szCs w:val="28"/>
        </w:rPr>
        <w:t>3</w:t>
      </w:r>
      <w:r w:rsidRPr="00D2796E">
        <w:rPr>
          <w:rFonts w:eastAsia="標楷體"/>
          <w:color w:val="000000" w:themeColor="text1"/>
          <w:sz w:val="28"/>
          <w:szCs w:val="28"/>
        </w:rPr>
        <w:t>.</w:t>
      </w:r>
      <w:r w:rsidRPr="00D2796E">
        <w:rPr>
          <w:rFonts w:eastAsia="標楷體" w:hint="eastAsia"/>
          <w:color w:val="000000" w:themeColor="text1"/>
          <w:sz w:val="28"/>
          <w:szCs w:val="28"/>
        </w:rPr>
        <w:t>各單位可參考行政院出版之《性別分析參考手冊》</w:t>
      </w:r>
      <w:r w:rsidRPr="00D2796E">
        <w:rPr>
          <w:rFonts w:eastAsia="標楷體" w:hint="eastAsia"/>
          <w:color w:val="000000" w:themeColor="text1"/>
          <w:sz w:val="28"/>
          <w:szCs w:val="28"/>
        </w:rPr>
        <w:t>)</w:t>
      </w:r>
      <w:r w:rsidRPr="00D2796E">
        <w:rPr>
          <w:rFonts w:eastAsia="標楷體"/>
          <w:color w:val="000000" w:themeColor="text1"/>
          <w:sz w:val="28"/>
          <w:szCs w:val="28"/>
        </w:rPr>
        <w:t>。</w:t>
      </w:r>
    </w:p>
    <w:p w14:paraId="6A1D86E9" w14:textId="77777777" w:rsidR="00A85A36" w:rsidRPr="00D2796E" w:rsidRDefault="00A85A36" w:rsidP="00A85A36">
      <w:pPr>
        <w:pStyle w:val="a3"/>
        <w:numPr>
          <w:ilvl w:val="0"/>
          <w:numId w:val="8"/>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辦理單位：由本局各科室及所屬機關填寫，經簽會本局會計室複核，並奉首長核准後，送會計室上載至本局網站性別統計專區，再由會計室彙整後於每年</w:t>
      </w:r>
      <w:r w:rsidRPr="00D2796E">
        <w:rPr>
          <w:rFonts w:ascii="Times New Roman" w:eastAsia="標楷體" w:hAnsi="Times New Roman" w:cs="Times New Roman"/>
          <w:color w:val="000000" w:themeColor="text1"/>
          <w:sz w:val="28"/>
          <w:szCs w:val="28"/>
        </w:rPr>
        <w:t>10</w:t>
      </w:r>
      <w:r w:rsidRPr="00D2796E">
        <w:rPr>
          <w:rFonts w:ascii="Times New Roman" w:eastAsia="標楷體" w:hAnsi="Times New Roman" w:cs="Times New Roman"/>
          <w:color w:val="000000" w:themeColor="text1"/>
          <w:sz w:val="28"/>
          <w:szCs w:val="28"/>
        </w:rPr>
        <w:t>月底前經本局性別平等專責小組檢視後，提交主計處。</w:t>
      </w:r>
    </w:p>
    <w:p w14:paraId="09CD8837" w14:textId="77777777" w:rsidR="00A85A36" w:rsidRPr="00D2796E" w:rsidRDefault="00A85A36" w:rsidP="00A85A36">
      <w:pPr>
        <w:pStyle w:val="a3"/>
        <w:numPr>
          <w:ilvl w:val="0"/>
          <w:numId w:val="6"/>
        </w:numPr>
        <w:spacing w:line="400" w:lineRule="exact"/>
        <w:ind w:leftChars="0" w:left="851" w:hanging="567"/>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b/>
          <w:color w:val="000000" w:themeColor="text1"/>
          <w:sz w:val="28"/>
          <w:szCs w:val="28"/>
        </w:rPr>
        <w:t>性別影響評估</w:t>
      </w:r>
    </w:p>
    <w:p w14:paraId="2CEF6B37" w14:textId="77777777" w:rsidR="00A85A36" w:rsidRPr="00D2796E" w:rsidRDefault="00A85A36" w:rsidP="00A85A36">
      <w:pPr>
        <w:pStyle w:val="a3"/>
        <w:numPr>
          <w:ilvl w:val="0"/>
          <w:numId w:val="9"/>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辦理內容：</w:t>
      </w:r>
    </w:p>
    <w:p w14:paraId="77F0F086" w14:textId="77777777" w:rsidR="00A85A36" w:rsidRPr="00D2796E" w:rsidRDefault="00A85A36" w:rsidP="00A85A36">
      <w:pPr>
        <w:pStyle w:val="a3"/>
        <w:numPr>
          <w:ilvl w:val="0"/>
          <w:numId w:val="10"/>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本局進行制定自治條例或計畫案，應參考本府性別影響評估流程，辦理性別影響評估，並應經本局專責小組會議事先審查或事後備查。</w:t>
      </w:r>
    </w:p>
    <w:p w14:paraId="714832D2" w14:textId="77777777" w:rsidR="00A85A36" w:rsidRPr="00D2796E" w:rsidRDefault="00A85A36" w:rsidP="00A85A36">
      <w:pPr>
        <w:pStyle w:val="2"/>
        <w:numPr>
          <w:ilvl w:val="0"/>
          <w:numId w:val="13"/>
        </w:numPr>
        <w:spacing w:line="400" w:lineRule="exact"/>
        <w:ind w:leftChars="350" w:left="1120" w:hangingChars="100" w:hanging="280"/>
        <w:jc w:val="both"/>
        <w:rPr>
          <w:rFonts w:eastAsia="標楷體"/>
          <w:color w:val="000000" w:themeColor="text1"/>
          <w:sz w:val="28"/>
          <w:szCs w:val="28"/>
        </w:rPr>
      </w:pPr>
      <w:r w:rsidRPr="00D2796E">
        <w:rPr>
          <w:rFonts w:eastAsia="標楷體"/>
          <w:color w:val="000000" w:themeColor="text1"/>
          <w:sz w:val="28"/>
          <w:szCs w:val="28"/>
        </w:rPr>
        <w:t>計畫類：應辦理性別影響評估之計畫。</w:t>
      </w:r>
    </w:p>
    <w:p w14:paraId="79D2A316" w14:textId="77777777" w:rsidR="00A85A36" w:rsidRPr="00D2796E" w:rsidRDefault="00A85A36" w:rsidP="00A85A36">
      <w:pPr>
        <w:pStyle w:val="2"/>
        <w:numPr>
          <w:ilvl w:val="0"/>
          <w:numId w:val="14"/>
        </w:numPr>
        <w:spacing w:line="400" w:lineRule="exact"/>
        <w:ind w:leftChars="0" w:left="1418" w:hanging="284"/>
        <w:jc w:val="both"/>
        <w:rPr>
          <w:rFonts w:eastAsia="標楷體"/>
          <w:color w:val="000000" w:themeColor="text1"/>
          <w:sz w:val="28"/>
          <w:szCs w:val="28"/>
        </w:rPr>
      </w:pPr>
      <w:r w:rsidRPr="00D2796E">
        <w:rPr>
          <w:rFonts w:eastAsia="標楷體"/>
          <w:color w:val="000000" w:themeColor="text1"/>
          <w:sz w:val="28"/>
          <w:szCs w:val="28"/>
        </w:rPr>
        <w:t>重大施政計畫：每年配合重大計畫先期審查，至少提</w:t>
      </w:r>
      <w:r w:rsidRPr="00D2796E">
        <w:rPr>
          <w:rFonts w:eastAsia="標楷體"/>
          <w:color w:val="000000" w:themeColor="text1"/>
          <w:sz w:val="28"/>
          <w:szCs w:val="28"/>
        </w:rPr>
        <w:t>1</w:t>
      </w:r>
      <w:r w:rsidRPr="00D2796E">
        <w:rPr>
          <w:rFonts w:eastAsia="標楷體"/>
          <w:color w:val="000000" w:themeColor="text1"/>
          <w:sz w:val="28"/>
          <w:szCs w:val="28"/>
        </w:rPr>
        <w:t>案重大施政計畫辦理性別影響評估。</w:t>
      </w:r>
    </w:p>
    <w:p w14:paraId="20C78C7D" w14:textId="77777777" w:rsidR="00A85A36" w:rsidRPr="00D2796E" w:rsidRDefault="00A85A36" w:rsidP="00A85A36">
      <w:pPr>
        <w:pStyle w:val="2"/>
        <w:numPr>
          <w:ilvl w:val="0"/>
          <w:numId w:val="14"/>
        </w:numPr>
        <w:spacing w:line="400" w:lineRule="exact"/>
        <w:ind w:leftChars="0" w:left="1418" w:hanging="284"/>
        <w:jc w:val="both"/>
        <w:rPr>
          <w:rFonts w:eastAsia="標楷體"/>
          <w:color w:val="000000" w:themeColor="text1"/>
          <w:sz w:val="28"/>
          <w:szCs w:val="28"/>
        </w:rPr>
      </w:pPr>
      <w:r w:rsidRPr="00D2796E">
        <w:rPr>
          <w:rFonts w:eastAsia="標楷體"/>
          <w:color w:val="000000" w:themeColor="text1"/>
          <w:sz w:val="28"/>
          <w:szCs w:val="28"/>
        </w:rPr>
        <w:t>非重大施政計畫</w:t>
      </w:r>
      <w:r w:rsidRPr="00D2796E">
        <w:rPr>
          <w:rFonts w:eastAsia="標楷體"/>
          <w:color w:val="000000" w:themeColor="text1"/>
          <w:sz w:val="28"/>
          <w:szCs w:val="28"/>
        </w:rPr>
        <w:t>(</w:t>
      </w:r>
      <w:r w:rsidRPr="00D2796E">
        <w:rPr>
          <w:rFonts w:eastAsia="標楷體"/>
          <w:color w:val="000000" w:themeColor="text1"/>
          <w:sz w:val="28"/>
          <w:szCs w:val="28"/>
        </w:rPr>
        <w:t>非屬前項重大施政計畫者</w:t>
      </w:r>
      <w:r w:rsidRPr="00D2796E">
        <w:rPr>
          <w:rFonts w:eastAsia="標楷體"/>
          <w:color w:val="000000" w:themeColor="text1"/>
          <w:sz w:val="28"/>
          <w:szCs w:val="28"/>
        </w:rPr>
        <w:t>)</w:t>
      </w:r>
      <w:r w:rsidRPr="00D2796E">
        <w:rPr>
          <w:rFonts w:eastAsia="標楷體"/>
          <w:color w:val="000000" w:themeColor="text1"/>
          <w:sz w:val="28"/>
          <w:szCs w:val="28"/>
        </w:rPr>
        <w:t>：每年至少提</w:t>
      </w:r>
      <w:r w:rsidRPr="00D2796E">
        <w:rPr>
          <w:rFonts w:eastAsia="標楷體"/>
          <w:color w:val="000000" w:themeColor="text1"/>
          <w:sz w:val="28"/>
          <w:szCs w:val="28"/>
        </w:rPr>
        <w:t>1</w:t>
      </w:r>
      <w:r w:rsidRPr="00D2796E">
        <w:rPr>
          <w:rFonts w:eastAsia="標楷體"/>
          <w:color w:val="000000" w:themeColor="text1"/>
          <w:sz w:val="28"/>
          <w:szCs w:val="28"/>
        </w:rPr>
        <w:t>案非重大施政計畫辦理性別影響評估。</w:t>
      </w:r>
    </w:p>
    <w:p w14:paraId="226556E0" w14:textId="77777777" w:rsidR="00A85A36" w:rsidRPr="00D2796E" w:rsidRDefault="00A85A36" w:rsidP="00A85A36">
      <w:pPr>
        <w:pStyle w:val="2"/>
        <w:numPr>
          <w:ilvl w:val="0"/>
          <w:numId w:val="13"/>
        </w:numPr>
        <w:spacing w:line="400" w:lineRule="exact"/>
        <w:ind w:leftChars="350" w:left="1120" w:hangingChars="100" w:hanging="280"/>
        <w:jc w:val="both"/>
        <w:rPr>
          <w:rFonts w:eastAsia="標楷體"/>
          <w:color w:val="000000" w:themeColor="text1"/>
          <w:sz w:val="28"/>
          <w:szCs w:val="28"/>
        </w:rPr>
      </w:pPr>
      <w:r w:rsidRPr="00D2796E">
        <w:rPr>
          <w:rFonts w:eastAsia="標楷體"/>
          <w:color w:val="000000" w:themeColor="text1"/>
          <w:sz w:val="28"/>
          <w:szCs w:val="28"/>
        </w:rPr>
        <w:t>法案類：本局於制定或修正本市自治條例時，應辦理性別影響評估。</w:t>
      </w:r>
    </w:p>
    <w:p w14:paraId="24C2A372" w14:textId="77777777" w:rsidR="00A85A36" w:rsidRPr="00D2796E" w:rsidRDefault="00A85A36" w:rsidP="00A85A36">
      <w:pPr>
        <w:pStyle w:val="a3"/>
        <w:numPr>
          <w:ilvl w:val="0"/>
          <w:numId w:val="10"/>
        </w:numPr>
        <w:wordWrap w:val="0"/>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前揭性別影響評估之辦理，應妥善運用性別統計及分析資料進行評估</w:t>
      </w:r>
      <w:r w:rsidRPr="00D2796E">
        <w:rPr>
          <w:rFonts w:eastAsia="標楷體" w:hint="eastAsia"/>
          <w:color w:val="000000" w:themeColor="text1"/>
          <w:sz w:val="28"/>
          <w:szCs w:val="28"/>
        </w:rPr>
        <w:t>，於計畫結束後檢討落實情形</w:t>
      </w:r>
      <w:r w:rsidRPr="00D2796E">
        <w:rPr>
          <w:rFonts w:ascii="Times New Roman" w:eastAsia="標楷體" w:hAnsi="Times New Roman" w:cs="Times New Roman"/>
          <w:color w:val="000000" w:themeColor="text1"/>
          <w:sz w:val="28"/>
          <w:szCs w:val="28"/>
        </w:rPr>
        <w:t>；且依性別影響評估結果訂定性別目標或調整計畫內容；另性別影響評估之程序參與者，應為行政院性別影響評估人才參考名單</w:t>
      </w:r>
      <w:r w:rsidRPr="00D2796E">
        <w:rPr>
          <w:rFonts w:ascii="Times New Roman" w:eastAsia="標楷體" w:hAnsi="Times New Roman" w:cs="Times New Roman"/>
          <w:color w:val="000000" w:themeColor="text1"/>
          <w:sz w:val="28"/>
          <w:szCs w:val="28"/>
        </w:rPr>
        <w:t>(https://reurl.cc/N4RpWQ)</w:t>
      </w:r>
      <w:r w:rsidRPr="00D2796E">
        <w:rPr>
          <w:rFonts w:ascii="Times New Roman" w:eastAsia="標楷體" w:hAnsi="Times New Roman" w:cs="Times New Roman"/>
          <w:color w:val="000000" w:themeColor="text1"/>
          <w:sz w:val="28"/>
          <w:szCs w:val="28"/>
        </w:rPr>
        <w:t>或本市性別人才資料庫之專家學者</w:t>
      </w:r>
      <w:r w:rsidRPr="00D2796E">
        <w:rPr>
          <w:rFonts w:ascii="Times New Roman" w:eastAsia="標楷體" w:hAnsi="Times New Roman" w:cs="Times New Roman"/>
          <w:color w:val="000000" w:themeColor="text1"/>
          <w:sz w:val="28"/>
          <w:szCs w:val="28"/>
        </w:rPr>
        <w:t>(https://reurl.cc/bDEkQ3)</w:t>
      </w:r>
      <w:r w:rsidRPr="00D2796E">
        <w:rPr>
          <w:rFonts w:ascii="Times New Roman" w:eastAsia="標楷體" w:hAnsi="Times New Roman" w:cs="Times New Roman"/>
          <w:color w:val="000000" w:themeColor="text1"/>
          <w:sz w:val="28"/>
          <w:szCs w:val="28"/>
        </w:rPr>
        <w:t>，並優先以現任或曾任本市性別平等相關委員會之外聘委員進行程序參與。</w:t>
      </w:r>
    </w:p>
    <w:p w14:paraId="5A051E9C" w14:textId="77777777" w:rsidR="00A85A36" w:rsidRPr="00D2796E" w:rsidRDefault="00A85A36" w:rsidP="00A85A36">
      <w:pPr>
        <w:pStyle w:val="a3"/>
        <w:numPr>
          <w:ilvl w:val="0"/>
          <w:numId w:val="10"/>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參加由本</w:t>
      </w:r>
      <w:proofErr w:type="gramStart"/>
      <w:r w:rsidRPr="00D2796E">
        <w:rPr>
          <w:rFonts w:ascii="Times New Roman" w:eastAsia="標楷體" w:hAnsi="Times New Roman" w:cs="Times New Roman"/>
          <w:color w:val="000000" w:themeColor="text1"/>
          <w:sz w:val="28"/>
          <w:szCs w:val="28"/>
        </w:rPr>
        <w:t>府</w:t>
      </w:r>
      <w:r w:rsidRPr="00D2796E">
        <w:rPr>
          <w:rFonts w:ascii="Times New Roman" w:eastAsia="標楷體" w:hAnsi="Times New Roman" w:cs="Times New Roman" w:hint="eastAsia"/>
          <w:color w:val="000000" w:themeColor="text1"/>
          <w:sz w:val="28"/>
          <w:szCs w:val="28"/>
        </w:rPr>
        <w:t>性平辦</w:t>
      </w:r>
      <w:proofErr w:type="gramEnd"/>
      <w:r w:rsidRPr="00D2796E">
        <w:rPr>
          <w:rFonts w:ascii="Times New Roman" w:eastAsia="標楷體" w:hAnsi="Times New Roman" w:cs="Times New Roman" w:hint="eastAsia"/>
          <w:color w:val="000000" w:themeColor="text1"/>
          <w:sz w:val="28"/>
          <w:szCs w:val="28"/>
        </w:rPr>
        <w:t>、</w:t>
      </w:r>
      <w:r w:rsidRPr="00D2796E">
        <w:rPr>
          <w:rFonts w:ascii="Times New Roman" w:eastAsia="標楷體" w:hAnsi="Times New Roman" w:cs="Times New Roman"/>
          <w:color w:val="000000" w:themeColor="text1"/>
          <w:sz w:val="28"/>
          <w:szCs w:val="28"/>
        </w:rPr>
        <w:t>法務局</w:t>
      </w:r>
      <w:r w:rsidRPr="00D2796E">
        <w:rPr>
          <w:rFonts w:ascii="Times New Roman" w:eastAsia="標楷體" w:hAnsi="Times New Roman" w:cs="Times New Roman" w:hint="eastAsia"/>
          <w:color w:val="000000" w:themeColor="text1"/>
          <w:sz w:val="28"/>
          <w:szCs w:val="28"/>
        </w:rPr>
        <w:t>、智慧城鄉發展委員</w:t>
      </w:r>
      <w:r w:rsidRPr="00D2796E">
        <w:rPr>
          <w:rFonts w:ascii="Times New Roman" w:eastAsia="標楷體" w:hAnsi="Times New Roman" w:cs="Times New Roman"/>
          <w:color w:val="000000" w:themeColor="text1"/>
          <w:sz w:val="28"/>
          <w:szCs w:val="28"/>
        </w:rPr>
        <w:t>會辦理</w:t>
      </w:r>
      <w:r w:rsidRPr="00D2796E">
        <w:rPr>
          <w:rFonts w:ascii="Times New Roman" w:eastAsia="標楷體" w:hAnsi="Times New Roman" w:cs="Times New Roman" w:hint="eastAsia"/>
          <w:color w:val="000000" w:themeColor="text1"/>
          <w:sz w:val="28"/>
          <w:szCs w:val="28"/>
        </w:rPr>
        <w:t>專家座談會議及經驗交流</w:t>
      </w:r>
      <w:r w:rsidRPr="00D2796E">
        <w:rPr>
          <w:rFonts w:ascii="Times New Roman" w:eastAsia="標楷體" w:hAnsi="Times New Roman" w:cs="Times New Roman"/>
          <w:color w:val="000000" w:themeColor="text1"/>
          <w:sz w:val="28"/>
          <w:szCs w:val="28"/>
        </w:rPr>
        <w:t>。</w:t>
      </w:r>
    </w:p>
    <w:p w14:paraId="11742A7B" w14:textId="77777777" w:rsidR="00A85A36" w:rsidRPr="00D2796E" w:rsidRDefault="00A85A36" w:rsidP="00A85A36">
      <w:pPr>
        <w:pStyle w:val="a3"/>
        <w:numPr>
          <w:ilvl w:val="0"/>
          <w:numId w:val="9"/>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辦理單位：</w:t>
      </w:r>
    </w:p>
    <w:p w14:paraId="308E6210" w14:textId="77777777" w:rsidR="00A85A36" w:rsidRPr="00D2796E" w:rsidRDefault="00A85A36" w:rsidP="00A85A36">
      <w:pPr>
        <w:pStyle w:val="a3"/>
        <w:numPr>
          <w:ilvl w:val="0"/>
          <w:numId w:val="33"/>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計畫類之性別影響評估：本府</w:t>
      </w:r>
      <w:r w:rsidRPr="00D2796E">
        <w:rPr>
          <w:rFonts w:ascii="Times New Roman" w:eastAsia="標楷體" w:hAnsi="Times New Roman" w:cs="Times New Roman" w:hint="eastAsia"/>
          <w:color w:val="000000" w:themeColor="text1"/>
          <w:sz w:val="28"/>
          <w:szCs w:val="28"/>
        </w:rPr>
        <w:t>智慧城鄉發展委員</w:t>
      </w:r>
      <w:r w:rsidRPr="00D2796E">
        <w:rPr>
          <w:rFonts w:ascii="Times New Roman" w:eastAsia="標楷體" w:hAnsi="Times New Roman" w:cs="Times New Roman"/>
          <w:color w:val="000000" w:themeColor="text1"/>
          <w:sz w:val="28"/>
          <w:szCs w:val="28"/>
        </w:rPr>
        <w:t>會已訂定計畫性別評估檢視表</w:t>
      </w:r>
      <w:r w:rsidRPr="00D2796E">
        <w:rPr>
          <w:rFonts w:ascii="Times New Roman" w:eastAsia="標楷體" w:hAnsi="Times New Roman" w:cs="Times New Roman"/>
          <w:color w:val="000000" w:themeColor="text1"/>
          <w:sz w:val="28"/>
          <w:szCs w:val="28"/>
        </w:rPr>
        <w:t>(</w:t>
      </w:r>
      <w:bookmarkStart w:id="2" w:name="_Hlk127294776"/>
      <w:r w:rsidRPr="00D2796E">
        <w:rPr>
          <w:rFonts w:ascii="Times New Roman" w:eastAsia="標楷體" w:hAnsi="Times New Roman" w:cs="Times New Roman"/>
          <w:color w:val="000000" w:themeColor="text1"/>
          <w:sz w:val="28"/>
          <w:szCs w:val="28"/>
        </w:rPr>
        <w:t>附表</w:t>
      </w:r>
      <w:bookmarkEnd w:id="2"/>
      <w:r w:rsidRPr="00D2796E">
        <w:rPr>
          <w:rFonts w:ascii="Times New Roman" w:eastAsia="標楷體" w:hAnsi="Times New Roman" w:cs="Times New Roman" w:hint="eastAsia"/>
          <w:color w:val="000000" w:themeColor="text1"/>
          <w:sz w:val="28"/>
          <w:szCs w:val="28"/>
        </w:rPr>
        <w:t>6</w:t>
      </w:r>
      <w:r w:rsidRPr="00D2796E">
        <w:rPr>
          <w:rFonts w:ascii="Times New Roman" w:eastAsia="微軟正黑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附表</w:t>
      </w:r>
      <w:r w:rsidRPr="00D2796E">
        <w:rPr>
          <w:rFonts w:ascii="Times New Roman" w:eastAsia="標楷體" w:hAnsi="Times New Roman" w:cs="Times New Roman" w:hint="eastAsia"/>
          <w:color w:val="000000" w:themeColor="text1"/>
          <w:sz w:val="28"/>
          <w:szCs w:val="28"/>
        </w:rPr>
        <w:t>7</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，請各科室及所屬機關填寫後送至本府</w:t>
      </w:r>
      <w:r w:rsidRPr="00D2796E">
        <w:rPr>
          <w:rFonts w:ascii="Times New Roman" w:eastAsia="標楷體" w:hAnsi="Times New Roman" w:cs="Times New Roman" w:hint="eastAsia"/>
          <w:color w:val="000000" w:themeColor="text1"/>
          <w:sz w:val="28"/>
          <w:szCs w:val="28"/>
        </w:rPr>
        <w:t>智慧城鄉發展委員</w:t>
      </w:r>
      <w:r w:rsidRPr="00D2796E">
        <w:rPr>
          <w:rFonts w:ascii="Times New Roman" w:eastAsia="標楷體" w:hAnsi="Times New Roman" w:cs="Times New Roman"/>
          <w:color w:val="000000" w:themeColor="text1"/>
          <w:sz w:val="28"/>
          <w:szCs w:val="28"/>
        </w:rPr>
        <w:t>會及</w:t>
      </w:r>
      <w:proofErr w:type="gramStart"/>
      <w:r w:rsidRPr="00D2796E">
        <w:rPr>
          <w:rFonts w:ascii="Times New Roman" w:eastAsia="標楷體" w:hAnsi="Times New Roman" w:cs="Times New Roman"/>
          <w:color w:val="000000" w:themeColor="text1"/>
          <w:sz w:val="28"/>
          <w:szCs w:val="28"/>
        </w:rPr>
        <w:t>秘書室統整</w:t>
      </w:r>
      <w:proofErr w:type="gramEnd"/>
      <w:r w:rsidRPr="00D2796E">
        <w:rPr>
          <w:rFonts w:ascii="Times New Roman" w:eastAsia="標楷體" w:hAnsi="Times New Roman" w:cs="Times New Roman"/>
          <w:color w:val="000000" w:themeColor="text1"/>
          <w:sz w:val="28"/>
          <w:szCs w:val="28"/>
        </w:rPr>
        <w:t>管理。</w:t>
      </w:r>
    </w:p>
    <w:p w14:paraId="6154CE30" w14:textId="77777777" w:rsidR="00A85A36" w:rsidRPr="00D2796E" w:rsidRDefault="00A85A36" w:rsidP="00A85A36">
      <w:pPr>
        <w:pStyle w:val="a3"/>
        <w:numPr>
          <w:ilvl w:val="0"/>
          <w:numId w:val="33"/>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lastRenderedPageBreak/>
        <w:t>法案類之性別影響評估：本府法務局已訂定自治條例性別影響評估檢視表</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附表</w:t>
      </w:r>
      <w:r w:rsidRPr="00D2796E">
        <w:rPr>
          <w:rFonts w:ascii="Times New Roman" w:eastAsia="標楷體" w:hAnsi="Times New Roman" w:cs="Times New Roman"/>
          <w:color w:val="000000" w:themeColor="text1"/>
          <w:sz w:val="28"/>
          <w:szCs w:val="28"/>
        </w:rPr>
        <w:t>5)</w:t>
      </w:r>
      <w:r w:rsidRPr="00D2796E">
        <w:rPr>
          <w:rFonts w:ascii="Times New Roman" w:eastAsia="標楷體" w:hAnsi="Times New Roman" w:cs="Times New Roman"/>
          <w:color w:val="000000" w:themeColor="text1"/>
          <w:sz w:val="28"/>
          <w:szCs w:val="28"/>
        </w:rPr>
        <w:t>，請各科室及所屬機關填寫後送至本府法務局及</w:t>
      </w:r>
      <w:proofErr w:type="gramStart"/>
      <w:r w:rsidRPr="00D2796E">
        <w:rPr>
          <w:rFonts w:ascii="Times New Roman" w:eastAsia="標楷體" w:hAnsi="Times New Roman" w:cs="Times New Roman"/>
          <w:color w:val="000000" w:themeColor="text1"/>
          <w:sz w:val="28"/>
          <w:szCs w:val="28"/>
        </w:rPr>
        <w:t>秘書室統整</w:t>
      </w:r>
      <w:proofErr w:type="gramEnd"/>
      <w:r w:rsidRPr="00D2796E">
        <w:rPr>
          <w:rFonts w:ascii="Times New Roman" w:eastAsia="標楷體" w:hAnsi="Times New Roman" w:cs="Times New Roman"/>
          <w:color w:val="000000" w:themeColor="text1"/>
          <w:sz w:val="28"/>
          <w:szCs w:val="28"/>
        </w:rPr>
        <w:t>管理。</w:t>
      </w:r>
    </w:p>
    <w:p w14:paraId="0D76E121" w14:textId="77777777" w:rsidR="00A85A36" w:rsidRPr="00D2796E" w:rsidRDefault="00A85A36" w:rsidP="00A85A36">
      <w:pPr>
        <w:pStyle w:val="a3"/>
        <w:numPr>
          <w:ilvl w:val="0"/>
          <w:numId w:val="33"/>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由秘書室及相關法規或計畫承辦科室參與性別影響評估工具運用之工作坊及案例研討會。</w:t>
      </w:r>
    </w:p>
    <w:p w14:paraId="24A772BA" w14:textId="77777777" w:rsidR="00A85A36" w:rsidRPr="00D2796E" w:rsidRDefault="00A85A36" w:rsidP="00A85A36">
      <w:pPr>
        <w:pStyle w:val="a3"/>
        <w:numPr>
          <w:ilvl w:val="0"/>
          <w:numId w:val="6"/>
        </w:numPr>
        <w:spacing w:line="400" w:lineRule="exact"/>
        <w:ind w:leftChars="0" w:left="851" w:hanging="567"/>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b/>
          <w:color w:val="000000" w:themeColor="text1"/>
          <w:sz w:val="28"/>
          <w:szCs w:val="28"/>
        </w:rPr>
        <w:t>性別預算</w:t>
      </w:r>
    </w:p>
    <w:p w14:paraId="46E904D7" w14:textId="77777777" w:rsidR="00A85A36" w:rsidRPr="00D2796E" w:rsidRDefault="00A85A36" w:rsidP="00A85A36">
      <w:pPr>
        <w:pStyle w:val="a3"/>
        <w:numPr>
          <w:ilvl w:val="0"/>
          <w:numId w:val="11"/>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辦理內容：</w:t>
      </w:r>
    </w:p>
    <w:p w14:paraId="746B7994" w14:textId="77777777" w:rsidR="00A85A36" w:rsidRPr="00D2796E" w:rsidRDefault="00A85A36" w:rsidP="00A85A36">
      <w:pPr>
        <w:pStyle w:val="a3"/>
        <w:numPr>
          <w:ilvl w:val="0"/>
          <w:numId w:val="34"/>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參考「桃園市政府性別預算編列及填表說明」，各科室於編列預算時能考量不同性別者、性傾向或性別認同者之需求，並配合性別平等工作事項編列性別預算；最後由會計室彙整性別預算編列情形。</w:t>
      </w:r>
    </w:p>
    <w:p w14:paraId="5A241BEC" w14:textId="77777777" w:rsidR="00A85A36" w:rsidRPr="00D2796E" w:rsidRDefault="00A85A36" w:rsidP="00A85A36">
      <w:pPr>
        <w:pStyle w:val="a3"/>
        <w:numPr>
          <w:ilvl w:val="0"/>
          <w:numId w:val="34"/>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各科室於法定預算通過後填寫性別預算表，並由會計室</w:t>
      </w:r>
      <w:proofErr w:type="gramStart"/>
      <w:r w:rsidRPr="00D2796E">
        <w:rPr>
          <w:rFonts w:ascii="Times New Roman" w:eastAsia="標楷體" w:hAnsi="Times New Roman" w:cs="Times New Roman"/>
          <w:color w:val="000000" w:themeColor="text1"/>
          <w:sz w:val="28"/>
          <w:szCs w:val="28"/>
        </w:rPr>
        <w:t>彙整提經</w:t>
      </w:r>
      <w:proofErr w:type="gramEnd"/>
      <w:r w:rsidRPr="00D2796E">
        <w:rPr>
          <w:rFonts w:ascii="Times New Roman" w:eastAsia="標楷體" w:hAnsi="Times New Roman" w:cs="Times New Roman"/>
          <w:color w:val="000000" w:themeColor="text1"/>
          <w:sz w:val="28"/>
          <w:szCs w:val="28"/>
        </w:rPr>
        <w:t>本局性別平等專責小組年度第</w:t>
      </w:r>
      <w:r w:rsidRPr="00D2796E">
        <w:rPr>
          <w:rFonts w:ascii="Times New Roman" w:eastAsia="標楷體" w:hAnsi="Times New Roman" w:cs="Times New Roman"/>
          <w:color w:val="000000" w:themeColor="text1"/>
          <w:sz w:val="28"/>
          <w:szCs w:val="28"/>
        </w:rPr>
        <w:t>1</w:t>
      </w:r>
      <w:r w:rsidRPr="00D2796E">
        <w:rPr>
          <w:rFonts w:ascii="Times New Roman" w:eastAsia="標楷體" w:hAnsi="Times New Roman" w:cs="Times New Roman"/>
          <w:color w:val="000000" w:themeColor="text1"/>
          <w:sz w:val="28"/>
          <w:szCs w:val="28"/>
        </w:rPr>
        <w:t>次會議檢視後，由會計室提送主計處彙整提報性別主流化推動組會議。</w:t>
      </w:r>
    </w:p>
    <w:p w14:paraId="36502200" w14:textId="77777777" w:rsidR="00A85A36" w:rsidRPr="00D2796E" w:rsidRDefault="00A85A36" w:rsidP="00A85A36">
      <w:pPr>
        <w:pStyle w:val="a3"/>
        <w:numPr>
          <w:ilvl w:val="0"/>
          <w:numId w:val="34"/>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各科室進行性別影響評估作業，依據性別影響評估結果重新檢視性別預算的配置，並由會計室彙整性別預算編列情形。</w:t>
      </w:r>
    </w:p>
    <w:p w14:paraId="3B3517BE" w14:textId="77777777" w:rsidR="00A85A36" w:rsidRPr="00D2796E" w:rsidRDefault="00A85A36" w:rsidP="00A85A36">
      <w:pPr>
        <w:pStyle w:val="a3"/>
        <w:numPr>
          <w:ilvl w:val="0"/>
          <w:numId w:val="34"/>
        </w:numPr>
        <w:spacing w:line="400" w:lineRule="exact"/>
        <w:ind w:leftChars="0" w:left="1077" w:hanging="39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參加由主計處辦理之性別預算工具運用之研習或工作坊。</w:t>
      </w:r>
    </w:p>
    <w:p w14:paraId="7EDCA145" w14:textId="77777777" w:rsidR="00A85A36" w:rsidRPr="00D2796E" w:rsidRDefault="00A85A36" w:rsidP="00A85A36">
      <w:pPr>
        <w:pStyle w:val="a3"/>
        <w:numPr>
          <w:ilvl w:val="0"/>
          <w:numId w:val="11"/>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辦理單位：本局各科室填寫並交由會計室彙整，並請會計室參加相關研習及工作坊。</w:t>
      </w:r>
    </w:p>
    <w:p w14:paraId="7123DEAE" w14:textId="77777777" w:rsidR="00A85A36" w:rsidRPr="00D2796E" w:rsidRDefault="00A85A36" w:rsidP="00A85A36">
      <w:pPr>
        <w:pStyle w:val="a3"/>
        <w:numPr>
          <w:ilvl w:val="0"/>
          <w:numId w:val="4"/>
        </w:numPr>
        <w:spacing w:line="400" w:lineRule="exact"/>
        <w:ind w:leftChars="0" w:left="709" w:hanging="567"/>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b/>
          <w:color w:val="000000" w:themeColor="text1"/>
          <w:sz w:val="28"/>
          <w:szCs w:val="28"/>
        </w:rPr>
        <w:t>建置性別人才資料庫</w:t>
      </w:r>
    </w:p>
    <w:p w14:paraId="0822BAEA" w14:textId="77777777" w:rsidR="00A85A36" w:rsidRPr="00D2796E" w:rsidRDefault="00A85A36" w:rsidP="00A85A36">
      <w:pPr>
        <w:pStyle w:val="a3"/>
        <w:numPr>
          <w:ilvl w:val="0"/>
          <w:numId w:val="12"/>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辦理內容：至少每</w:t>
      </w:r>
      <w:r w:rsidRPr="00D2796E">
        <w:rPr>
          <w:rFonts w:ascii="Times New Roman" w:eastAsia="標楷體" w:hAnsi="Times New Roman" w:cs="Times New Roman"/>
          <w:color w:val="000000" w:themeColor="text1"/>
          <w:sz w:val="28"/>
          <w:szCs w:val="28"/>
        </w:rPr>
        <w:t>2</w:t>
      </w:r>
      <w:r w:rsidRPr="00D2796E">
        <w:rPr>
          <w:rFonts w:ascii="Times New Roman" w:eastAsia="標楷體" w:hAnsi="Times New Roman" w:cs="Times New Roman"/>
          <w:color w:val="000000" w:themeColor="text1"/>
          <w:sz w:val="28"/>
          <w:szCs w:val="28"/>
        </w:rPr>
        <w:t>年協助新增或更新性別師資名單予性別平等辦公室彙整，以建置在地性別人才資料庫，作為各科室邀請性別師資或進行性別影響評估之參考。</w:t>
      </w:r>
    </w:p>
    <w:p w14:paraId="376966AB" w14:textId="77777777" w:rsidR="00A85A36" w:rsidRPr="00D2796E" w:rsidRDefault="00A85A36" w:rsidP="00A85A36">
      <w:pPr>
        <w:pStyle w:val="a3"/>
        <w:numPr>
          <w:ilvl w:val="0"/>
          <w:numId w:val="12"/>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辦理單位：由各科室及所屬機關推薦各領域之性別專家學者，交由</w:t>
      </w:r>
      <w:proofErr w:type="gramStart"/>
      <w:r w:rsidRPr="00D2796E">
        <w:rPr>
          <w:rFonts w:ascii="Times New Roman" w:eastAsia="標楷體" w:hAnsi="Times New Roman" w:cs="Times New Roman"/>
          <w:color w:val="000000" w:themeColor="text1"/>
          <w:sz w:val="28"/>
          <w:szCs w:val="28"/>
        </w:rPr>
        <w:t>秘書室彙整</w:t>
      </w:r>
      <w:proofErr w:type="gramEnd"/>
      <w:r w:rsidRPr="00D2796E">
        <w:rPr>
          <w:rFonts w:ascii="Times New Roman" w:eastAsia="標楷體" w:hAnsi="Times New Roman" w:cs="Times New Roman"/>
          <w:color w:val="000000" w:themeColor="text1"/>
          <w:sz w:val="28"/>
          <w:szCs w:val="28"/>
        </w:rPr>
        <w:t>提供性別平等辦公室。</w:t>
      </w:r>
    </w:p>
    <w:p w14:paraId="619488C8" w14:textId="77777777" w:rsidR="00A85A36" w:rsidRPr="00D2796E" w:rsidRDefault="00A85A36" w:rsidP="00A85A36">
      <w:pPr>
        <w:pStyle w:val="a3"/>
        <w:numPr>
          <w:ilvl w:val="0"/>
          <w:numId w:val="4"/>
        </w:numPr>
        <w:spacing w:line="400" w:lineRule="exact"/>
        <w:ind w:leftChars="0" w:left="709" w:hanging="567"/>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b/>
          <w:color w:val="000000" w:themeColor="text1"/>
          <w:sz w:val="28"/>
          <w:szCs w:val="28"/>
        </w:rPr>
        <w:t>本局推展及落實性別平等與</w:t>
      </w:r>
      <w:r w:rsidRPr="00D2796E">
        <w:rPr>
          <w:rFonts w:ascii="Times New Roman" w:eastAsia="標楷體" w:hAnsi="Times New Roman" w:cs="Times New Roman"/>
          <w:b/>
          <w:color w:val="000000" w:themeColor="text1"/>
          <w:sz w:val="28"/>
          <w:szCs w:val="28"/>
        </w:rPr>
        <w:t>CEDAW</w:t>
      </w:r>
      <w:r w:rsidRPr="00D2796E">
        <w:rPr>
          <w:rFonts w:ascii="Times New Roman" w:eastAsia="標楷體" w:hAnsi="Times New Roman" w:cs="Times New Roman"/>
          <w:b/>
          <w:color w:val="000000" w:themeColor="text1"/>
          <w:sz w:val="28"/>
          <w:szCs w:val="28"/>
        </w:rPr>
        <w:t>相關方案</w:t>
      </w:r>
    </w:p>
    <w:p w14:paraId="1A50589E" w14:textId="77777777" w:rsidR="00A85A36" w:rsidRPr="00D2796E" w:rsidRDefault="00A85A36" w:rsidP="00A85A36">
      <w:pPr>
        <w:pStyle w:val="a3"/>
        <w:numPr>
          <w:ilvl w:val="0"/>
          <w:numId w:val="1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跨局處合作計畫</w:t>
      </w:r>
    </w:p>
    <w:p w14:paraId="176477D3" w14:textId="77777777" w:rsidR="00A85A36" w:rsidRPr="00D2796E" w:rsidRDefault="00A85A36" w:rsidP="00A85A36">
      <w:pPr>
        <w:pStyle w:val="a3"/>
        <w:numPr>
          <w:ilvl w:val="0"/>
          <w:numId w:val="17"/>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辦理內容：本局配合六大分工小組之跨局處合作計畫</w:t>
      </w:r>
      <w:proofErr w:type="gramStart"/>
      <w:r w:rsidRPr="00D2796E">
        <w:rPr>
          <w:rFonts w:ascii="Times New Roman" w:eastAsia="標楷體" w:hAnsi="Times New Roman" w:cs="Times New Roman"/>
          <w:color w:val="000000" w:themeColor="text1"/>
          <w:sz w:val="28"/>
          <w:szCs w:val="28"/>
        </w:rPr>
        <w:t>主責局處</w:t>
      </w:r>
      <w:proofErr w:type="gramEnd"/>
      <w:r w:rsidRPr="00D2796E">
        <w:rPr>
          <w:rFonts w:ascii="Times New Roman" w:eastAsia="標楷體" w:hAnsi="Times New Roman" w:cs="Times New Roman"/>
          <w:color w:val="000000" w:themeColor="text1"/>
          <w:sz w:val="28"/>
          <w:szCs w:val="28"/>
        </w:rPr>
        <w:t>辦理，由計畫</w:t>
      </w:r>
      <w:proofErr w:type="gramStart"/>
      <w:r w:rsidRPr="00D2796E">
        <w:rPr>
          <w:rFonts w:ascii="Times New Roman" w:eastAsia="標楷體" w:hAnsi="Times New Roman" w:cs="Times New Roman"/>
          <w:color w:val="000000" w:themeColor="text1"/>
          <w:sz w:val="28"/>
          <w:szCs w:val="28"/>
        </w:rPr>
        <w:t>主責科室</w:t>
      </w:r>
      <w:proofErr w:type="gramEnd"/>
      <w:r w:rsidRPr="00D2796E">
        <w:rPr>
          <w:rFonts w:ascii="Times New Roman" w:eastAsia="標楷體" w:hAnsi="Times New Roman" w:cs="Times New Roman"/>
          <w:color w:val="000000" w:themeColor="text1"/>
          <w:sz w:val="28"/>
          <w:szCs w:val="28"/>
        </w:rPr>
        <w:t>協助撰寫計畫內容，並派員</w:t>
      </w:r>
      <w:proofErr w:type="gramStart"/>
      <w:r w:rsidRPr="00D2796E">
        <w:rPr>
          <w:rFonts w:ascii="Times New Roman" w:eastAsia="標楷體" w:hAnsi="Times New Roman" w:cs="Times New Roman"/>
          <w:color w:val="000000" w:themeColor="text1"/>
          <w:sz w:val="28"/>
          <w:szCs w:val="28"/>
        </w:rPr>
        <w:t>併</w:t>
      </w:r>
      <w:proofErr w:type="gramEnd"/>
      <w:r w:rsidRPr="00D2796E">
        <w:rPr>
          <w:rFonts w:ascii="Times New Roman" w:eastAsia="標楷體" w:hAnsi="Times New Roman" w:cs="Times New Roman"/>
          <w:color w:val="000000" w:themeColor="text1"/>
          <w:sz w:val="28"/>
          <w:szCs w:val="28"/>
        </w:rPr>
        <w:t>同秘書室參與</w:t>
      </w:r>
      <w:proofErr w:type="gramStart"/>
      <w:r w:rsidRPr="00D2796E">
        <w:rPr>
          <w:rFonts w:ascii="Times New Roman" w:eastAsia="標楷體" w:hAnsi="Times New Roman" w:cs="Times New Roman"/>
          <w:color w:val="000000" w:themeColor="text1"/>
          <w:sz w:val="28"/>
          <w:szCs w:val="28"/>
        </w:rPr>
        <w:t>性平辦辦理</w:t>
      </w:r>
      <w:proofErr w:type="gramEnd"/>
      <w:r w:rsidRPr="00D2796E">
        <w:rPr>
          <w:rFonts w:ascii="Times New Roman" w:eastAsia="標楷體" w:hAnsi="Times New Roman" w:cs="Times New Roman"/>
          <w:color w:val="000000" w:themeColor="text1"/>
          <w:sz w:val="28"/>
          <w:szCs w:val="28"/>
        </w:rPr>
        <w:t>之「跨局處合作計畫工作坊」。</w:t>
      </w:r>
    </w:p>
    <w:p w14:paraId="045585A4" w14:textId="77777777" w:rsidR="00A85A36" w:rsidRPr="00D2796E" w:rsidRDefault="00A85A36" w:rsidP="00A85A36">
      <w:pPr>
        <w:pStyle w:val="a3"/>
        <w:numPr>
          <w:ilvl w:val="0"/>
          <w:numId w:val="17"/>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成果報告：由計畫</w:t>
      </w:r>
      <w:proofErr w:type="gramStart"/>
      <w:r w:rsidRPr="00D2796E">
        <w:rPr>
          <w:rFonts w:ascii="Times New Roman" w:eastAsia="標楷體" w:hAnsi="Times New Roman" w:cs="Times New Roman"/>
          <w:color w:val="000000" w:themeColor="text1"/>
          <w:sz w:val="28"/>
          <w:szCs w:val="28"/>
        </w:rPr>
        <w:t>主責科室</w:t>
      </w:r>
      <w:proofErr w:type="gramEnd"/>
      <w:r w:rsidRPr="00D2796E">
        <w:rPr>
          <w:rFonts w:ascii="Times New Roman" w:eastAsia="標楷體" w:hAnsi="Times New Roman" w:cs="Times New Roman"/>
          <w:color w:val="000000" w:themeColor="text1"/>
          <w:sz w:val="28"/>
          <w:szCs w:val="28"/>
        </w:rPr>
        <w:t>填寫</w:t>
      </w:r>
      <w:proofErr w:type="gramStart"/>
      <w:r w:rsidRPr="00D2796E">
        <w:rPr>
          <w:rFonts w:ascii="Times New Roman" w:eastAsia="標楷體" w:hAnsi="Times New Roman" w:cs="Times New Roman"/>
          <w:color w:val="000000" w:themeColor="text1"/>
          <w:sz w:val="28"/>
          <w:szCs w:val="28"/>
        </w:rPr>
        <w:t>性平辦提供</w:t>
      </w:r>
      <w:proofErr w:type="gramEnd"/>
      <w:r w:rsidRPr="00D2796E">
        <w:rPr>
          <w:rFonts w:ascii="Times New Roman" w:eastAsia="標楷體" w:hAnsi="Times New Roman" w:cs="Times New Roman"/>
          <w:color w:val="000000" w:themeColor="text1"/>
          <w:sz w:val="28"/>
          <w:szCs w:val="28"/>
        </w:rPr>
        <w:t>之成果報告格式，再提交</w:t>
      </w:r>
      <w:proofErr w:type="gramStart"/>
      <w:r w:rsidRPr="00D2796E">
        <w:rPr>
          <w:rFonts w:ascii="Times New Roman" w:eastAsia="標楷體" w:hAnsi="Times New Roman" w:cs="Times New Roman"/>
          <w:color w:val="000000" w:themeColor="text1"/>
          <w:sz w:val="28"/>
          <w:szCs w:val="28"/>
        </w:rPr>
        <w:t>性平辦</w:t>
      </w:r>
      <w:proofErr w:type="gramEnd"/>
      <w:r w:rsidRPr="00D2796E">
        <w:rPr>
          <w:rFonts w:ascii="Times New Roman" w:eastAsia="標楷體" w:hAnsi="Times New Roman" w:cs="Times New Roman"/>
          <w:color w:val="000000" w:themeColor="text1"/>
          <w:sz w:val="28"/>
          <w:szCs w:val="28"/>
        </w:rPr>
        <w:t>。</w:t>
      </w:r>
    </w:p>
    <w:p w14:paraId="5FF48997" w14:textId="77777777" w:rsidR="00A85A36" w:rsidRPr="00D2796E" w:rsidRDefault="00A85A36" w:rsidP="00A85A36">
      <w:pPr>
        <w:pStyle w:val="a3"/>
        <w:numPr>
          <w:ilvl w:val="0"/>
          <w:numId w:val="1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性別平等具體行動措施</w:t>
      </w:r>
    </w:p>
    <w:p w14:paraId="434F5BB8" w14:textId="77777777" w:rsidR="00A85A36" w:rsidRPr="00D2796E" w:rsidRDefault="00A85A36" w:rsidP="00A85A36">
      <w:pPr>
        <w:pStyle w:val="a3"/>
        <w:numPr>
          <w:ilvl w:val="0"/>
          <w:numId w:val="22"/>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lastRenderedPageBreak/>
        <w:t>辦理內容：由本局各科室及所屬機關輪流辦理性別平等具體行動措施，並請計畫</w:t>
      </w:r>
      <w:proofErr w:type="gramStart"/>
      <w:r w:rsidRPr="00D2796E">
        <w:rPr>
          <w:rFonts w:ascii="Times New Roman" w:eastAsia="標楷體" w:hAnsi="Times New Roman" w:cs="Times New Roman"/>
          <w:color w:val="000000" w:themeColor="text1"/>
          <w:sz w:val="28"/>
          <w:szCs w:val="28"/>
        </w:rPr>
        <w:t>主責科室</w:t>
      </w:r>
      <w:proofErr w:type="gramEnd"/>
      <w:r w:rsidRPr="00D2796E">
        <w:rPr>
          <w:rFonts w:ascii="Times New Roman" w:eastAsia="標楷體" w:hAnsi="Times New Roman" w:cs="Times New Roman"/>
          <w:color w:val="000000" w:themeColor="text1"/>
          <w:sz w:val="28"/>
          <w:szCs w:val="28"/>
        </w:rPr>
        <w:t>派員</w:t>
      </w:r>
      <w:proofErr w:type="gramStart"/>
      <w:r w:rsidRPr="00D2796E">
        <w:rPr>
          <w:rFonts w:ascii="Times New Roman" w:eastAsia="標楷體" w:hAnsi="Times New Roman" w:cs="Times New Roman"/>
          <w:color w:val="000000" w:themeColor="text1"/>
          <w:sz w:val="28"/>
          <w:szCs w:val="28"/>
        </w:rPr>
        <w:t>併</w:t>
      </w:r>
      <w:proofErr w:type="gramEnd"/>
      <w:r w:rsidRPr="00D2796E">
        <w:rPr>
          <w:rFonts w:ascii="Times New Roman" w:eastAsia="標楷體" w:hAnsi="Times New Roman" w:cs="Times New Roman"/>
          <w:color w:val="000000" w:themeColor="text1"/>
          <w:sz w:val="28"/>
          <w:szCs w:val="28"/>
        </w:rPr>
        <w:t>同秘書室參與</w:t>
      </w:r>
      <w:proofErr w:type="gramStart"/>
      <w:r w:rsidRPr="00D2796E">
        <w:rPr>
          <w:rFonts w:ascii="Times New Roman" w:eastAsia="標楷體" w:hAnsi="Times New Roman" w:cs="Times New Roman"/>
          <w:color w:val="000000" w:themeColor="text1"/>
          <w:sz w:val="28"/>
          <w:szCs w:val="28"/>
        </w:rPr>
        <w:t>性平辦辦理</w:t>
      </w:r>
      <w:proofErr w:type="gramEnd"/>
      <w:r w:rsidRPr="00D2796E">
        <w:rPr>
          <w:rFonts w:ascii="Times New Roman" w:eastAsia="標楷體" w:hAnsi="Times New Roman" w:cs="Times New Roman"/>
          <w:color w:val="000000" w:themeColor="text1"/>
          <w:sz w:val="28"/>
          <w:szCs w:val="28"/>
        </w:rPr>
        <w:t>之「性別平等具體行動措施進階培力工作坊」，透過小組討論方式，將性平觀點融入本局業務。</w:t>
      </w:r>
    </w:p>
    <w:p w14:paraId="567E70F8" w14:textId="77777777" w:rsidR="00A85A36" w:rsidRPr="00D2796E" w:rsidRDefault="00A85A36" w:rsidP="00A85A36">
      <w:pPr>
        <w:pStyle w:val="a3"/>
        <w:numPr>
          <w:ilvl w:val="0"/>
          <w:numId w:val="22"/>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成果報告：由計畫</w:t>
      </w:r>
      <w:proofErr w:type="gramStart"/>
      <w:r w:rsidRPr="00D2796E">
        <w:rPr>
          <w:rFonts w:ascii="Times New Roman" w:eastAsia="標楷體" w:hAnsi="Times New Roman" w:cs="Times New Roman"/>
          <w:color w:val="000000" w:themeColor="text1"/>
          <w:sz w:val="28"/>
          <w:szCs w:val="28"/>
        </w:rPr>
        <w:t>主責科室</w:t>
      </w:r>
      <w:proofErr w:type="gramEnd"/>
      <w:r w:rsidRPr="00D2796E">
        <w:rPr>
          <w:rFonts w:ascii="Times New Roman" w:eastAsia="標楷體" w:hAnsi="Times New Roman" w:cs="Times New Roman"/>
          <w:color w:val="000000" w:themeColor="text1"/>
          <w:sz w:val="28"/>
          <w:szCs w:val="28"/>
        </w:rPr>
        <w:t>填寫</w:t>
      </w:r>
      <w:proofErr w:type="gramStart"/>
      <w:r w:rsidRPr="00D2796E">
        <w:rPr>
          <w:rFonts w:ascii="Times New Roman" w:eastAsia="標楷體" w:hAnsi="Times New Roman" w:cs="Times New Roman"/>
          <w:color w:val="000000" w:themeColor="text1"/>
          <w:sz w:val="28"/>
          <w:szCs w:val="28"/>
        </w:rPr>
        <w:t>性平辦提供</w:t>
      </w:r>
      <w:proofErr w:type="gramEnd"/>
      <w:r w:rsidRPr="00D2796E">
        <w:rPr>
          <w:rFonts w:ascii="Times New Roman" w:eastAsia="標楷體" w:hAnsi="Times New Roman" w:cs="Times New Roman"/>
          <w:color w:val="000000" w:themeColor="text1"/>
          <w:sz w:val="28"/>
          <w:szCs w:val="28"/>
        </w:rPr>
        <w:t>之成果報告格式，並經本局性別平等專責小組檢視後，提交</w:t>
      </w:r>
      <w:proofErr w:type="gramStart"/>
      <w:r w:rsidRPr="00D2796E">
        <w:rPr>
          <w:rFonts w:ascii="Times New Roman" w:eastAsia="標楷體" w:hAnsi="Times New Roman" w:cs="Times New Roman"/>
          <w:color w:val="000000" w:themeColor="text1"/>
          <w:sz w:val="28"/>
          <w:szCs w:val="28"/>
        </w:rPr>
        <w:t>性平辦</w:t>
      </w:r>
      <w:proofErr w:type="gramEnd"/>
      <w:r w:rsidRPr="00D2796E">
        <w:rPr>
          <w:rFonts w:ascii="Times New Roman" w:eastAsia="標楷體" w:hAnsi="Times New Roman" w:cs="Times New Roman"/>
          <w:color w:val="000000" w:themeColor="text1"/>
          <w:sz w:val="28"/>
          <w:szCs w:val="28"/>
        </w:rPr>
        <w:t>。</w:t>
      </w:r>
    </w:p>
    <w:p w14:paraId="4BC0ACBD" w14:textId="77777777" w:rsidR="00A85A36" w:rsidRPr="00D2796E" w:rsidRDefault="00A85A36" w:rsidP="00A85A36">
      <w:pPr>
        <w:pStyle w:val="a3"/>
        <w:numPr>
          <w:ilvl w:val="0"/>
          <w:numId w:val="1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與企業、民間組織（人民團體、基金會、機構等）或鄰里社區共同推動具性別平等之政策、計畫、方案、措施及深化落實推動</w:t>
      </w:r>
      <w:r w:rsidRPr="00D2796E">
        <w:rPr>
          <w:rFonts w:ascii="Times New Roman" w:eastAsia="標楷體" w:hAnsi="Times New Roman" w:cs="Times New Roman"/>
          <w:color w:val="000000" w:themeColor="text1"/>
          <w:sz w:val="28"/>
          <w:szCs w:val="28"/>
        </w:rPr>
        <w:t>CEDAW</w:t>
      </w:r>
    </w:p>
    <w:p w14:paraId="39AFB5E9" w14:textId="77777777" w:rsidR="00A85A36" w:rsidRPr="00D2796E" w:rsidRDefault="00A85A36" w:rsidP="00A85A36">
      <w:pPr>
        <w:pStyle w:val="a3"/>
        <w:numPr>
          <w:ilvl w:val="0"/>
          <w:numId w:val="16"/>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辦理內容：由本局各科室及所屬機關輪流辦理，並請計畫</w:t>
      </w:r>
      <w:proofErr w:type="gramStart"/>
      <w:r w:rsidRPr="00D2796E">
        <w:rPr>
          <w:rFonts w:ascii="Times New Roman" w:eastAsia="標楷體" w:hAnsi="Times New Roman" w:cs="Times New Roman"/>
          <w:color w:val="000000" w:themeColor="text1"/>
          <w:sz w:val="28"/>
          <w:szCs w:val="28"/>
        </w:rPr>
        <w:t>主責科室</w:t>
      </w:r>
      <w:proofErr w:type="gramEnd"/>
      <w:r w:rsidRPr="00D2796E">
        <w:rPr>
          <w:rFonts w:ascii="Times New Roman" w:eastAsia="標楷體" w:hAnsi="Times New Roman" w:cs="Times New Roman"/>
          <w:color w:val="000000" w:themeColor="text1"/>
          <w:sz w:val="28"/>
          <w:szCs w:val="28"/>
        </w:rPr>
        <w:t>派員</w:t>
      </w:r>
      <w:proofErr w:type="gramStart"/>
      <w:r w:rsidRPr="00D2796E">
        <w:rPr>
          <w:rFonts w:ascii="Times New Roman" w:eastAsia="標楷體" w:hAnsi="Times New Roman" w:cs="Times New Roman"/>
          <w:color w:val="000000" w:themeColor="text1"/>
          <w:sz w:val="28"/>
          <w:szCs w:val="28"/>
        </w:rPr>
        <w:t>併</w:t>
      </w:r>
      <w:proofErr w:type="gramEnd"/>
      <w:r w:rsidRPr="00D2796E">
        <w:rPr>
          <w:rFonts w:ascii="Times New Roman" w:eastAsia="標楷體" w:hAnsi="Times New Roman" w:cs="Times New Roman"/>
          <w:color w:val="000000" w:themeColor="text1"/>
          <w:sz w:val="28"/>
          <w:szCs w:val="28"/>
        </w:rPr>
        <w:t>同秘書室參與</w:t>
      </w:r>
      <w:proofErr w:type="gramStart"/>
      <w:r w:rsidRPr="00D2796E">
        <w:rPr>
          <w:rFonts w:ascii="Times New Roman" w:eastAsia="標楷體" w:hAnsi="Times New Roman" w:cs="Times New Roman"/>
          <w:color w:val="000000" w:themeColor="text1"/>
          <w:sz w:val="28"/>
          <w:szCs w:val="28"/>
        </w:rPr>
        <w:t>性平辦辦理</w:t>
      </w:r>
      <w:proofErr w:type="gramEnd"/>
      <w:r w:rsidRPr="00D2796E">
        <w:rPr>
          <w:rFonts w:ascii="Times New Roman" w:eastAsia="標楷體" w:hAnsi="Times New Roman" w:cs="Times New Roman"/>
          <w:color w:val="000000" w:themeColor="text1"/>
          <w:sz w:val="28"/>
          <w:szCs w:val="28"/>
        </w:rPr>
        <w:t>之「與企業、民間組織（人民團體、基金會、機構等）或鄰里社區，共同推動具性別平等之政策、計畫、方案、措施進階培力工作坊」，透過小組討論方式，將性平觀點融入本局業務。</w:t>
      </w:r>
    </w:p>
    <w:p w14:paraId="24E29106" w14:textId="77777777" w:rsidR="00A85A36" w:rsidRPr="00D2796E" w:rsidRDefault="00A85A36" w:rsidP="00A85A36">
      <w:pPr>
        <w:pStyle w:val="a3"/>
        <w:numPr>
          <w:ilvl w:val="0"/>
          <w:numId w:val="16"/>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成果報告：由計畫</w:t>
      </w:r>
      <w:proofErr w:type="gramStart"/>
      <w:r w:rsidRPr="00D2796E">
        <w:rPr>
          <w:rFonts w:ascii="Times New Roman" w:eastAsia="標楷體" w:hAnsi="Times New Roman" w:cs="Times New Roman"/>
          <w:color w:val="000000" w:themeColor="text1"/>
          <w:sz w:val="28"/>
          <w:szCs w:val="28"/>
        </w:rPr>
        <w:t>主責科室</w:t>
      </w:r>
      <w:proofErr w:type="gramEnd"/>
      <w:r w:rsidRPr="00D2796E">
        <w:rPr>
          <w:rFonts w:ascii="Times New Roman" w:eastAsia="標楷體" w:hAnsi="Times New Roman" w:cs="Times New Roman"/>
          <w:color w:val="000000" w:themeColor="text1"/>
          <w:sz w:val="28"/>
          <w:szCs w:val="28"/>
        </w:rPr>
        <w:t>填寫</w:t>
      </w:r>
      <w:proofErr w:type="gramStart"/>
      <w:r w:rsidRPr="00D2796E">
        <w:rPr>
          <w:rFonts w:ascii="Times New Roman" w:eastAsia="標楷體" w:hAnsi="Times New Roman" w:cs="Times New Roman"/>
          <w:color w:val="000000" w:themeColor="text1"/>
          <w:sz w:val="28"/>
          <w:szCs w:val="28"/>
        </w:rPr>
        <w:t>性平辦提供</w:t>
      </w:r>
      <w:proofErr w:type="gramEnd"/>
      <w:r w:rsidRPr="00D2796E">
        <w:rPr>
          <w:rFonts w:ascii="Times New Roman" w:eastAsia="標楷體" w:hAnsi="Times New Roman" w:cs="Times New Roman"/>
          <w:color w:val="000000" w:themeColor="text1"/>
          <w:sz w:val="28"/>
          <w:szCs w:val="28"/>
        </w:rPr>
        <w:t>之成果報告格式，並經本局性別平等專責小組檢視後，提交</w:t>
      </w:r>
      <w:proofErr w:type="gramStart"/>
      <w:r w:rsidRPr="00D2796E">
        <w:rPr>
          <w:rFonts w:ascii="Times New Roman" w:eastAsia="標楷體" w:hAnsi="Times New Roman" w:cs="Times New Roman"/>
          <w:color w:val="000000" w:themeColor="text1"/>
          <w:sz w:val="28"/>
          <w:szCs w:val="28"/>
        </w:rPr>
        <w:t>性平辦</w:t>
      </w:r>
      <w:proofErr w:type="gramEnd"/>
      <w:r w:rsidRPr="00D2796E">
        <w:rPr>
          <w:rFonts w:ascii="Times New Roman" w:eastAsia="標楷體" w:hAnsi="Times New Roman" w:cs="Times New Roman"/>
          <w:color w:val="000000" w:themeColor="text1"/>
          <w:sz w:val="28"/>
          <w:szCs w:val="28"/>
        </w:rPr>
        <w:t>。</w:t>
      </w:r>
    </w:p>
    <w:p w14:paraId="22E263CE" w14:textId="77777777" w:rsidR="00A85A36" w:rsidRPr="00D2796E" w:rsidRDefault="00A85A36" w:rsidP="00A85A36">
      <w:pPr>
        <w:pStyle w:val="a3"/>
        <w:numPr>
          <w:ilvl w:val="0"/>
          <w:numId w:val="1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CEDAW</w:t>
      </w:r>
      <w:r w:rsidRPr="00D2796E">
        <w:rPr>
          <w:rFonts w:ascii="Times New Roman" w:eastAsia="標楷體" w:hAnsi="Times New Roman" w:cs="Times New Roman"/>
          <w:color w:val="000000" w:themeColor="text1"/>
          <w:sz w:val="28"/>
          <w:szCs w:val="28"/>
        </w:rPr>
        <w:t>案例及運用</w:t>
      </w:r>
    </w:p>
    <w:p w14:paraId="621B9A65" w14:textId="77777777" w:rsidR="00A85A36" w:rsidRPr="00D2796E" w:rsidRDefault="00A85A36" w:rsidP="00A85A36">
      <w:pPr>
        <w:pStyle w:val="a3"/>
        <w:numPr>
          <w:ilvl w:val="0"/>
          <w:numId w:val="23"/>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辦理內容：由本局各科室及所屬機關輪流辦理，教材案例應包含相關</w:t>
      </w:r>
      <w:r w:rsidRPr="00D2796E">
        <w:rPr>
          <w:rFonts w:ascii="Times New Roman" w:eastAsia="標楷體" w:hAnsi="Times New Roman" w:cs="Times New Roman"/>
          <w:color w:val="000000" w:themeColor="text1"/>
          <w:sz w:val="28"/>
          <w:szCs w:val="28"/>
        </w:rPr>
        <w:t>CEDAW</w:t>
      </w:r>
      <w:r w:rsidRPr="00D2796E">
        <w:rPr>
          <w:rFonts w:ascii="Times New Roman" w:eastAsia="標楷體" w:hAnsi="Times New Roman" w:cs="Times New Roman"/>
          <w:color w:val="000000" w:themeColor="text1"/>
          <w:sz w:val="28"/>
          <w:szCs w:val="28"/>
        </w:rPr>
        <w:t>及一般性建議。如行政院性別平等處及各部會教材</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本局可參考引用農委會教材</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，建置及蒐集適用本局不同專業人員之</w:t>
      </w:r>
      <w:r w:rsidRPr="00D2796E">
        <w:rPr>
          <w:rFonts w:ascii="Times New Roman" w:eastAsia="標楷體" w:hAnsi="Times New Roman" w:cs="Times New Roman"/>
          <w:color w:val="000000" w:themeColor="text1"/>
          <w:sz w:val="28"/>
          <w:szCs w:val="28"/>
        </w:rPr>
        <w:t>CEDAW</w:t>
      </w:r>
      <w:r w:rsidRPr="00D2796E">
        <w:rPr>
          <w:rFonts w:ascii="Times New Roman" w:eastAsia="標楷體" w:hAnsi="Times New Roman" w:cs="Times New Roman"/>
          <w:color w:val="000000" w:themeColor="text1"/>
          <w:sz w:val="28"/>
          <w:szCs w:val="28"/>
        </w:rPr>
        <w:t>教材及案例，並可加入本市地方需求、特色及申訴案例。</w:t>
      </w:r>
    </w:p>
    <w:p w14:paraId="57FEF63F" w14:textId="77777777" w:rsidR="00A85A36" w:rsidRPr="00D2796E" w:rsidRDefault="00A85A36" w:rsidP="00A85A36">
      <w:pPr>
        <w:pStyle w:val="a3"/>
        <w:numPr>
          <w:ilvl w:val="0"/>
          <w:numId w:val="23"/>
        </w:numPr>
        <w:spacing w:line="400" w:lineRule="exact"/>
        <w:ind w:leftChars="0" w:left="851" w:hanging="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成果報告：由計畫</w:t>
      </w:r>
      <w:proofErr w:type="gramStart"/>
      <w:r w:rsidRPr="00D2796E">
        <w:rPr>
          <w:rFonts w:ascii="Times New Roman" w:eastAsia="標楷體" w:hAnsi="Times New Roman" w:cs="Times New Roman"/>
          <w:color w:val="000000" w:themeColor="text1"/>
          <w:sz w:val="28"/>
          <w:szCs w:val="28"/>
        </w:rPr>
        <w:t>主責科室</w:t>
      </w:r>
      <w:proofErr w:type="gramEnd"/>
      <w:r w:rsidRPr="00D2796E">
        <w:rPr>
          <w:rFonts w:ascii="Times New Roman" w:eastAsia="標楷體" w:hAnsi="Times New Roman" w:cs="Times New Roman"/>
          <w:color w:val="000000" w:themeColor="text1"/>
          <w:sz w:val="28"/>
          <w:szCs w:val="28"/>
        </w:rPr>
        <w:t>填寫</w:t>
      </w:r>
      <w:proofErr w:type="gramStart"/>
      <w:r w:rsidRPr="00D2796E">
        <w:rPr>
          <w:rFonts w:ascii="Times New Roman" w:eastAsia="標楷體" w:hAnsi="Times New Roman" w:cs="Times New Roman"/>
          <w:color w:val="000000" w:themeColor="text1"/>
          <w:sz w:val="28"/>
          <w:szCs w:val="28"/>
        </w:rPr>
        <w:t>性平辦提供</w:t>
      </w:r>
      <w:proofErr w:type="gramEnd"/>
      <w:r w:rsidRPr="00D2796E">
        <w:rPr>
          <w:rFonts w:ascii="Times New Roman" w:eastAsia="標楷體" w:hAnsi="Times New Roman" w:cs="Times New Roman"/>
          <w:color w:val="000000" w:themeColor="text1"/>
          <w:sz w:val="28"/>
          <w:szCs w:val="28"/>
        </w:rPr>
        <w:t>之成果報告格式，並經本局性別平等專責小組檢視後，提交</w:t>
      </w:r>
      <w:proofErr w:type="gramStart"/>
      <w:r w:rsidRPr="00D2796E">
        <w:rPr>
          <w:rFonts w:ascii="Times New Roman" w:eastAsia="標楷體" w:hAnsi="Times New Roman" w:cs="Times New Roman"/>
          <w:color w:val="000000" w:themeColor="text1"/>
          <w:sz w:val="28"/>
          <w:szCs w:val="28"/>
        </w:rPr>
        <w:t>性平辦</w:t>
      </w:r>
      <w:proofErr w:type="gramEnd"/>
      <w:r w:rsidRPr="00D2796E">
        <w:rPr>
          <w:rFonts w:ascii="Times New Roman" w:eastAsia="標楷體" w:hAnsi="Times New Roman" w:cs="Times New Roman"/>
          <w:color w:val="000000" w:themeColor="text1"/>
          <w:sz w:val="28"/>
          <w:szCs w:val="28"/>
        </w:rPr>
        <w:t>。</w:t>
      </w:r>
    </w:p>
    <w:p w14:paraId="6B39BBC1" w14:textId="77777777" w:rsidR="00A85A36" w:rsidRPr="00D2796E" w:rsidRDefault="00A85A36" w:rsidP="00A85A36">
      <w:pPr>
        <w:pStyle w:val="a3"/>
        <w:numPr>
          <w:ilvl w:val="0"/>
          <w:numId w:val="15"/>
        </w:numPr>
        <w:spacing w:line="400" w:lineRule="exact"/>
        <w:ind w:leftChars="0" w:left="851" w:hanging="567"/>
        <w:jc w:val="both"/>
        <w:rPr>
          <w:rFonts w:ascii="Times New Roman" w:eastAsia="標楷體" w:hAnsi="Times New Roman" w:cs="Times New Roman"/>
          <w:color w:val="000000" w:themeColor="text1"/>
          <w:sz w:val="28"/>
          <w:szCs w:val="28"/>
        </w:rPr>
      </w:pPr>
      <w:r w:rsidRPr="00D2796E">
        <w:rPr>
          <w:rFonts w:eastAsia="標楷體"/>
          <w:color w:val="000000" w:themeColor="text1"/>
          <w:sz w:val="28"/>
          <w:szCs w:val="28"/>
        </w:rPr>
        <w:t>本局撰擬之「性別平等具體行動措施」及「與企業、民間組織</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人民團體、基金會、機構等</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或鄰里社區共同推動具性別平等之政策、計畫、方案、措施及深化落實推動</w:t>
      </w:r>
      <w:r w:rsidRPr="00D2796E">
        <w:rPr>
          <w:rFonts w:ascii="Times New Roman" w:eastAsia="標楷體" w:hAnsi="Times New Roman" w:cs="Times New Roman"/>
          <w:color w:val="000000" w:themeColor="text1"/>
          <w:sz w:val="28"/>
          <w:szCs w:val="28"/>
        </w:rPr>
        <w:t>CEDAW</w:t>
      </w:r>
      <w:r w:rsidRPr="00D2796E">
        <w:rPr>
          <w:rFonts w:ascii="Times New Roman" w:eastAsia="標楷體" w:hAnsi="Times New Roman" w:cs="Times New Roman"/>
          <w:color w:val="000000" w:themeColor="text1"/>
          <w:sz w:val="28"/>
          <w:szCs w:val="28"/>
        </w:rPr>
        <w:t>」兩項計畫不得重複。</w:t>
      </w:r>
    </w:p>
    <w:p w14:paraId="20E4D865" w14:textId="77777777" w:rsidR="00A85A36" w:rsidRPr="00D2796E" w:rsidRDefault="00A85A36" w:rsidP="00A85A36">
      <w:pPr>
        <w:pStyle w:val="a3"/>
        <w:numPr>
          <w:ilvl w:val="0"/>
          <w:numId w:val="3"/>
        </w:numPr>
        <w:spacing w:line="400" w:lineRule="exact"/>
        <w:ind w:leftChars="0" w:left="556"/>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b/>
          <w:color w:val="000000" w:themeColor="text1"/>
          <w:sz w:val="28"/>
          <w:szCs w:val="28"/>
        </w:rPr>
        <w:t>經費來源：</w:t>
      </w:r>
      <w:r w:rsidRPr="00D2796E">
        <w:rPr>
          <w:rFonts w:ascii="Times New Roman" w:eastAsia="標楷體" w:hAnsi="Times New Roman" w:cs="Times New Roman"/>
          <w:color w:val="000000" w:themeColor="text1"/>
          <w:sz w:val="28"/>
          <w:szCs w:val="28"/>
        </w:rPr>
        <w:t>由本局各科室及所屬機關納入年度預算。</w:t>
      </w:r>
    </w:p>
    <w:p w14:paraId="064E6925" w14:textId="77777777" w:rsidR="00A85A36" w:rsidRPr="00D2796E" w:rsidRDefault="00A85A36" w:rsidP="00A85A36">
      <w:pPr>
        <w:pStyle w:val="a3"/>
        <w:numPr>
          <w:ilvl w:val="0"/>
          <w:numId w:val="3"/>
        </w:numPr>
        <w:spacing w:line="400" w:lineRule="exact"/>
        <w:ind w:leftChars="0" w:left="556"/>
        <w:jc w:val="both"/>
        <w:rPr>
          <w:rFonts w:ascii="Times New Roman" w:eastAsia="標楷體" w:hAnsi="Times New Roman" w:cs="Times New Roman"/>
          <w:b/>
          <w:color w:val="000000" w:themeColor="text1"/>
          <w:sz w:val="28"/>
          <w:szCs w:val="28"/>
        </w:rPr>
      </w:pPr>
      <w:r w:rsidRPr="00D2796E">
        <w:rPr>
          <w:rFonts w:ascii="Times New Roman" w:eastAsia="標楷體" w:hAnsi="Times New Roman" w:cs="Times New Roman"/>
          <w:b/>
          <w:color w:val="000000" w:themeColor="text1"/>
          <w:sz w:val="28"/>
          <w:szCs w:val="28"/>
        </w:rPr>
        <w:t>預期效益：</w:t>
      </w:r>
    </w:p>
    <w:p w14:paraId="09246ABD" w14:textId="77777777" w:rsidR="00A85A36" w:rsidRPr="00D2796E" w:rsidRDefault="00A85A36" w:rsidP="00A85A36">
      <w:pPr>
        <w:spacing w:line="400" w:lineRule="exact"/>
        <w:ind w:leftChars="100" w:left="800" w:hangingChars="200" w:hanging="560"/>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一</w:t>
      </w:r>
      <w:r w:rsidRPr="00D2796E">
        <w:rPr>
          <w:rFonts w:ascii="Times New Roman" w:eastAsia="微軟正黑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提昇本局同仁性別主流化意識，建立性別觀點與性別敏感度，落實推動性別主流化各項工具。</w:t>
      </w:r>
    </w:p>
    <w:p w14:paraId="551F9446" w14:textId="77777777" w:rsidR="00A85A36" w:rsidRPr="00D2796E" w:rsidRDefault="00A85A36" w:rsidP="00A85A36">
      <w:pPr>
        <w:spacing w:line="400" w:lineRule="exact"/>
        <w:ind w:leftChars="100" w:left="800" w:hangingChars="200" w:hanging="560"/>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二</w:t>
      </w:r>
      <w:r w:rsidRPr="00D2796E">
        <w:rPr>
          <w:rFonts w:ascii="Times New Roman" w:eastAsia="微軟正黑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將性別觀點納入法案、政策、計畫及措施中，並編列預算與資源分配，使政策融入性別平等之意涵。</w:t>
      </w:r>
    </w:p>
    <w:p w14:paraId="37882370" w14:textId="77777777" w:rsidR="00A85A36" w:rsidRPr="00D2796E" w:rsidRDefault="00A85A36" w:rsidP="00A85A36">
      <w:pPr>
        <w:pStyle w:val="a3"/>
        <w:spacing w:line="400" w:lineRule="exact"/>
        <w:ind w:leftChars="0" w:left="284"/>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三</w:t>
      </w:r>
      <w:r w:rsidRPr="00D2796E">
        <w:rPr>
          <w:rFonts w:ascii="Times New Roman" w:eastAsia="微軟正黑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關鍵績效指標</w:t>
      </w:r>
      <w:r w:rsidRPr="00D2796E">
        <w:rPr>
          <w:rFonts w:ascii="Times New Roman" w:eastAsia="標楷體" w:hAnsi="Times New Roman" w:cs="Times New Roman"/>
          <w:color w:val="000000" w:themeColor="text1"/>
          <w:sz w:val="28"/>
          <w:szCs w:val="28"/>
        </w:rPr>
        <w:t>(KPI)</w:t>
      </w:r>
      <w:r w:rsidRPr="00D2796E">
        <w:rPr>
          <w:rFonts w:ascii="Times New Roman" w:eastAsia="標楷體" w:hAnsi="Times New Roman" w:cs="Times New Roman"/>
          <w:color w:val="000000" w:themeColor="text1"/>
          <w:sz w:val="28"/>
          <w:szCs w:val="28"/>
        </w:rPr>
        <w:t>：</w:t>
      </w:r>
    </w:p>
    <w:p w14:paraId="7CC449A3" w14:textId="77777777" w:rsidR="00A85A36" w:rsidRPr="00D2796E" w:rsidRDefault="00A85A36" w:rsidP="00A85A36">
      <w:pPr>
        <w:pStyle w:val="a3"/>
        <w:numPr>
          <w:ilvl w:val="0"/>
          <w:numId w:val="18"/>
        </w:numPr>
        <w:spacing w:afterLines="50" w:after="180" w:line="400" w:lineRule="exact"/>
        <w:ind w:leftChars="0" w:left="1134" w:hanging="567"/>
        <w:jc w:val="both"/>
        <w:rPr>
          <w:rFonts w:ascii="Times New Roman" w:eastAsia="標楷體" w:hAnsi="Times New Roman" w:cs="Times New Roman"/>
          <w:color w:val="000000" w:themeColor="text1"/>
          <w:sz w:val="28"/>
          <w:szCs w:val="28"/>
        </w:rPr>
      </w:pPr>
      <w:proofErr w:type="gramStart"/>
      <w:r w:rsidRPr="00D2796E">
        <w:rPr>
          <w:rFonts w:ascii="Times New Roman" w:eastAsia="標楷體" w:hAnsi="Times New Roman" w:cs="Times New Roman"/>
          <w:color w:val="000000" w:themeColor="text1"/>
          <w:sz w:val="28"/>
          <w:szCs w:val="28"/>
        </w:rPr>
        <w:t>賡</w:t>
      </w:r>
      <w:proofErr w:type="gramEnd"/>
      <w:r w:rsidRPr="00D2796E">
        <w:rPr>
          <w:rFonts w:ascii="Times New Roman" w:eastAsia="標楷體" w:hAnsi="Times New Roman" w:cs="Times New Roman"/>
          <w:color w:val="000000" w:themeColor="text1"/>
          <w:sz w:val="28"/>
          <w:szCs w:val="28"/>
        </w:rPr>
        <w:t>續推動性別主流化各項工具，並提升推動品質及擴大成效：</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964"/>
        <w:gridCol w:w="4502"/>
        <w:gridCol w:w="706"/>
        <w:gridCol w:w="706"/>
        <w:gridCol w:w="706"/>
        <w:gridCol w:w="706"/>
      </w:tblGrid>
      <w:tr w:rsidR="00A85A36" w:rsidRPr="00D2796E" w14:paraId="438D333A" w14:textId="77777777" w:rsidTr="00771052">
        <w:trPr>
          <w:trHeight w:val="384"/>
          <w:tblHeader/>
          <w:jc w:val="center"/>
        </w:trPr>
        <w:tc>
          <w:tcPr>
            <w:tcW w:w="496" w:type="dxa"/>
            <w:vMerge w:val="restart"/>
            <w:shd w:val="clear" w:color="auto" w:fill="auto"/>
            <w:vAlign w:val="center"/>
          </w:tcPr>
          <w:p w14:paraId="1149FD23"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lastRenderedPageBreak/>
              <w:t>序號</w:t>
            </w:r>
          </w:p>
        </w:tc>
        <w:tc>
          <w:tcPr>
            <w:tcW w:w="1964" w:type="dxa"/>
            <w:vMerge w:val="restart"/>
            <w:shd w:val="clear" w:color="auto" w:fill="auto"/>
            <w:vAlign w:val="center"/>
          </w:tcPr>
          <w:p w14:paraId="5E80D233"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關鍵績效指標</w:t>
            </w:r>
          </w:p>
        </w:tc>
        <w:tc>
          <w:tcPr>
            <w:tcW w:w="4502" w:type="dxa"/>
            <w:vMerge w:val="restart"/>
            <w:shd w:val="clear" w:color="auto" w:fill="auto"/>
            <w:vAlign w:val="center"/>
          </w:tcPr>
          <w:p w14:paraId="0F0CC7FF"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衡量標準</w:t>
            </w:r>
          </w:p>
        </w:tc>
        <w:tc>
          <w:tcPr>
            <w:tcW w:w="2824" w:type="dxa"/>
            <w:gridSpan w:val="4"/>
            <w:shd w:val="clear" w:color="auto" w:fill="auto"/>
            <w:vAlign w:val="center"/>
          </w:tcPr>
          <w:p w14:paraId="78613077"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年度目標值</w:t>
            </w:r>
          </w:p>
        </w:tc>
      </w:tr>
      <w:tr w:rsidR="00A85A36" w:rsidRPr="00D2796E" w14:paraId="1782CDBB" w14:textId="77777777" w:rsidTr="00771052">
        <w:trPr>
          <w:trHeight w:val="354"/>
          <w:tblHeader/>
          <w:jc w:val="center"/>
        </w:trPr>
        <w:tc>
          <w:tcPr>
            <w:tcW w:w="496" w:type="dxa"/>
            <w:vMerge/>
            <w:shd w:val="clear" w:color="auto" w:fill="auto"/>
            <w:vAlign w:val="center"/>
          </w:tcPr>
          <w:p w14:paraId="1AF3046D"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p>
        </w:tc>
        <w:tc>
          <w:tcPr>
            <w:tcW w:w="1964" w:type="dxa"/>
            <w:vMerge/>
            <w:shd w:val="clear" w:color="auto" w:fill="auto"/>
            <w:vAlign w:val="center"/>
          </w:tcPr>
          <w:p w14:paraId="77FD8098" w14:textId="77777777" w:rsidR="00A85A36" w:rsidRPr="00D2796E" w:rsidRDefault="00A85A36" w:rsidP="00771052">
            <w:pPr>
              <w:adjustRightInd w:val="0"/>
              <w:snapToGrid w:val="0"/>
              <w:spacing w:line="360" w:lineRule="atLeast"/>
              <w:jc w:val="center"/>
              <w:rPr>
                <w:rFonts w:ascii="Times New Roman" w:eastAsia="標楷體" w:hAnsi="Times New Roman" w:cs="Times New Roman"/>
                <w:color w:val="000000" w:themeColor="text1"/>
                <w:sz w:val="28"/>
                <w:szCs w:val="28"/>
              </w:rPr>
            </w:pPr>
          </w:p>
        </w:tc>
        <w:tc>
          <w:tcPr>
            <w:tcW w:w="4502" w:type="dxa"/>
            <w:vMerge/>
            <w:shd w:val="clear" w:color="auto" w:fill="auto"/>
            <w:vAlign w:val="center"/>
          </w:tcPr>
          <w:p w14:paraId="533B2D7F" w14:textId="77777777" w:rsidR="00A85A36" w:rsidRPr="00D2796E" w:rsidRDefault="00A85A36" w:rsidP="00771052">
            <w:pPr>
              <w:adjustRightInd w:val="0"/>
              <w:snapToGrid w:val="0"/>
              <w:spacing w:line="320" w:lineRule="exact"/>
              <w:jc w:val="center"/>
              <w:rPr>
                <w:rFonts w:ascii="Times New Roman" w:eastAsia="標楷體" w:hAnsi="Times New Roman" w:cs="Times New Roman"/>
                <w:color w:val="000000" w:themeColor="text1"/>
                <w:sz w:val="28"/>
                <w:szCs w:val="28"/>
              </w:rPr>
            </w:pPr>
          </w:p>
        </w:tc>
        <w:tc>
          <w:tcPr>
            <w:tcW w:w="706" w:type="dxa"/>
            <w:shd w:val="clear" w:color="auto" w:fill="auto"/>
            <w:vAlign w:val="center"/>
          </w:tcPr>
          <w:p w14:paraId="204D38BB" w14:textId="77777777" w:rsidR="00A85A36" w:rsidRPr="00D2796E" w:rsidRDefault="00A85A36" w:rsidP="00771052">
            <w:pPr>
              <w:adjustRightInd w:val="0"/>
              <w:snapToGrid w:val="0"/>
              <w:spacing w:line="400" w:lineRule="atLeast"/>
              <w:ind w:leftChars="-47" w:left="-113" w:rightChars="-47" w:right="-113"/>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112</w:t>
            </w:r>
            <w:r w:rsidRPr="00D2796E">
              <w:rPr>
                <w:rFonts w:ascii="Times New Roman" w:eastAsia="標楷體" w:hAnsi="Times New Roman" w:cs="Times New Roman"/>
                <w:color w:val="000000" w:themeColor="text1"/>
                <w:sz w:val="26"/>
                <w:szCs w:val="26"/>
              </w:rPr>
              <w:t>年</w:t>
            </w:r>
          </w:p>
        </w:tc>
        <w:tc>
          <w:tcPr>
            <w:tcW w:w="706" w:type="dxa"/>
            <w:shd w:val="clear" w:color="auto" w:fill="auto"/>
            <w:vAlign w:val="center"/>
          </w:tcPr>
          <w:p w14:paraId="4D861E5F" w14:textId="77777777" w:rsidR="00A85A36" w:rsidRPr="00D2796E" w:rsidRDefault="00A85A36" w:rsidP="00771052">
            <w:pPr>
              <w:adjustRightInd w:val="0"/>
              <w:snapToGrid w:val="0"/>
              <w:spacing w:line="400" w:lineRule="atLeast"/>
              <w:ind w:leftChars="-47" w:left="-113" w:rightChars="-47" w:right="-113"/>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113</w:t>
            </w:r>
            <w:r w:rsidRPr="00D2796E">
              <w:rPr>
                <w:rFonts w:ascii="Times New Roman" w:eastAsia="標楷體" w:hAnsi="Times New Roman" w:cs="Times New Roman"/>
                <w:color w:val="000000" w:themeColor="text1"/>
                <w:sz w:val="26"/>
                <w:szCs w:val="26"/>
              </w:rPr>
              <w:t>年</w:t>
            </w:r>
          </w:p>
        </w:tc>
        <w:tc>
          <w:tcPr>
            <w:tcW w:w="706" w:type="dxa"/>
            <w:shd w:val="clear" w:color="auto" w:fill="auto"/>
            <w:vAlign w:val="center"/>
          </w:tcPr>
          <w:p w14:paraId="2D480472" w14:textId="77777777" w:rsidR="00A85A36" w:rsidRPr="00D2796E" w:rsidRDefault="00A85A36" w:rsidP="00771052">
            <w:pPr>
              <w:adjustRightInd w:val="0"/>
              <w:snapToGrid w:val="0"/>
              <w:spacing w:line="400" w:lineRule="atLeast"/>
              <w:ind w:leftChars="-47" w:left="-113" w:rightChars="-47" w:right="-113"/>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114</w:t>
            </w:r>
            <w:r w:rsidRPr="00D2796E">
              <w:rPr>
                <w:rFonts w:ascii="Times New Roman" w:eastAsia="標楷體" w:hAnsi="Times New Roman" w:cs="Times New Roman"/>
                <w:color w:val="000000" w:themeColor="text1"/>
                <w:sz w:val="26"/>
                <w:szCs w:val="26"/>
              </w:rPr>
              <w:t>年</w:t>
            </w:r>
          </w:p>
        </w:tc>
        <w:tc>
          <w:tcPr>
            <w:tcW w:w="706" w:type="dxa"/>
            <w:shd w:val="clear" w:color="auto" w:fill="auto"/>
            <w:vAlign w:val="center"/>
          </w:tcPr>
          <w:p w14:paraId="3EDF4C66" w14:textId="77777777" w:rsidR="00A85A36" w:rsidRPr="00D2796E" w:rsidRDefault="00A85A36" w:rsidP="00771052">
            <w:pPr>
              <w:adjustRightInd w:val="0"/>
              <w:snapToGrid w:val="0"/>
              <w:spacing w:line="400" w:lineRule="atLeast"/>
              <w:ind w:leftChars="-47" w:left="-113" w:rightChars="-47" w:right="-113"/>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115</w:t>
            </w:r>
            <w:r w:rsidRPr="00D2796E">
              <w:rPr>
                <w:rFonts w:ascii="Times New Roman" w:eastAsia="標楷體" w:hAnsi="Times New Roman" w:cs="Times New Roman"/>
                <w:color w:val="000000" w:themeColor="text1"/>
                <w:sz w:val="26"/>
                <w:szCs w:val="26"/>
              </w:rPr>
              <w:t>年</w:t>
            </w:r>
          </w:p>
        </w:tc>
      </w:tr>
      <w:tr w:rsidR="00A85A36" w:rsidRPr="00D2796E" w14:paraId="55C6EEE7" w14:textId="77777777" w:rsidTr="00771052">
        <w:trPr>
          <w:trHeight w:val="1321"/>
          <w:jc w:val="center"/>
        </w:trPr>
        <w:tc>
          <w:tcPr>
            <w:tcW w:w="496" w:type="dxa"/>
            <w:vMerge w:val="restart"/>
            <w:shd w:val="clear" w:color="auto" w:fill="auto"/>
            <w:vAlign w:val="center"/>
          </w:tcPr>
          <w:p w14:paraId="101B4F43"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1964" w:type="dxa"/>
            <w:vMerge w:val="restart"/>
            <w:shd w:val="clear" w:color="auto" w:fill="auto"/>
            <w:vAlign w:val="center"/>
          </w:tcPr>
          <w:p w14:paraId="02BC6608" w14:textId="77777777" w:rsidR="00A85A36" w:rsidRPr="00D2796E" w:rsidRDefault="00A85A36" w:rsidP="00771052">
            <w:pPr>
              <w:pStyle w:val="2"/>
              <w:adjustRightInd w:val="0"/>
              <w:snapToGrid w:val="0"/>
              <w:spacing w:line="360" w:lineRule="atLeast"/>
              <w:ind w:leftChars="0" w:left="560" w:hangingChars="200" w:hanging="560"/>
              <w:jc w:val="both"/>
              <w:rPr>
                <w:rFonts w:eastAsia="標楷體"/>
                <w:color w:val="000000" w:themeColor="text1"/>
                <w:sz w:val="28"/>
                <w:szCs w:val="28"/>
              </w:rPr>
            </w:pPr>
            <w:r w:rsidRPr="00D2796E">
              <w:rPr>
                <w:rFonts w:eastAsia="標楷體"/>
                <w:color w:val="000000" w:themeColor="text1"/>
                <w:sz w:val="28"/>
                <w:szCs w:val="28"/>
              </w:rPr>
              <w:t>性別</w:t>
            </w:r>
            <w:r w:rsidRPr="00D2796E">
              <w:rPr>
                <w:rFonts w:eastAsia="標楷體" w:hint="eastAsia"/>
                <w:color w:val="000000" w:themeColor="text1"/>
                <w:sz w:val="28"/>
                <w:szCs w:val="28"/>
              </w:rPr>
              <w:t>平等</w:t>
            </w:r>
            <w:r w:rsidRPr="00D2796E">
              <w:rPr>
                <w:rFonts w:eastAsia="標楷體"/>
                <w:color w:val="000000" w:themeColor="text1"/>
                <w:sz w:val="28"/>
                <w:szCs w:val="28"/>
              </w:rPr>
              <w:t>訓練</w:t>
            </w:r>
          </w:p>
          <w:p w14:paraId="10A2E639" w14:textId="77777777" w:rsidR="00A85A36" w:rsidRPr="00D2796E" w:rsidRDefault="00A85A36" w:rsidP="00771052">
            <w:pPr>
              <w:pStyle w:val="2"/>
              <w:adjustRightInd w:val="0"/>
              <w:snapToGrid w:val="0"/>
              <w:spacing w:line="360" w:lineRule="atLeast"/>
              <w:ind w:leftChars="0" w:left="560" w:hangingChars="200" w:hanging="560"/>
              <w:jc w:val="both"/>
              <w:rPr>
                <w:rFonts w:eastAsia="標楷體"/>
                <w:color w:val="000000" w:themeColor="text1"/>
                <w:sz w:val="28"/>
                <w:szCs w:val="28"/>
              </w:rPr>
            </w:pPr>
            <w:proofErr w:type="gramStart"/>
            <w:r w:rsidRPr="00D2796E">
              <w:rPr>
                <w:rFonts w:eastAsia="標楷體"/>
                <w:color w:val="000000" w:themeColor="text1"/>
                <w:sz w:val="28"/>
                <w:szCs w:val="28"/>
              </w:rPr>
              <w:t>參訓率</w:t>
            </w:r>
            <w:proofErr w:type="gramEnd"/>
            <w:r w:rsidRPr="00D2796E">
              <w:rPr>
                <w:rFonts w:eastAsia="標楷體"/>
                <w:color w:val="000000" w:themeColor="text1"/>
                <w:sz w:val="28"/>
                <w:szCs w:val="28"/>
              </w:rPr>
              <w:t>(%)</w:t>
            </w:r>
          </w:p>
        </w:tc>
        <w:tc>
          <w:tcPr>
            <w:tcW w:w="4502" w:type="dxa"/>
            <w:shd w:val="clear" w:color="auto" w:fill="auto"/>
          </w:tcPr>
          <w:p w14:paraId="5466DDB8" w14:textId="77777777" w:rsidR="00A85A36" w:rsidRPr="00D2796E" w:rsidRDefault="00A85A36" w:rsidP="00771052">
            <w:pPr>
              <w:adjustRightInd w:val="0"/>
              <w:snapToGrid w:val="0"/>
              <w:spacing w:line="320" w:lineRule="exact"/>
              <w:ind w:leftChars="15" w:left="36"/>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一般</w:t>
            </w:r>
            <w:proofErr w:type="gramStart"/>
            <w:r w:rsidRPr="00D2796E">
              <w:rPr>
                <w:rFonts w:ascii="Times New Roman" w:eastAsia="標楷體" w:hAnsi="Times New Roman" w:cs="Times New Roman"/>
                <w:color w:val="000000" w:themeColor="text1"/>
                <w:sz w:val="28"/>
                <w:szCs w:val="28"/>
              </w:rPr>
              <w:t>公務人員參訓</w:t>
            </w:r>
            <w:r w:rsidRPr="00D2796E">
              <w:rPr>
                <w:rFonts w:ascii="Times New Roman" w:eastAsia="標楷體" w:hAnsi="Times New Roman" w:cs="Times New Roman"/>
                <w:color w:val="000000" w:themeColor="text1"/>
                <w:sz w:val="28"/>
                <w:szCs w:val="28"/>
              </w:rPr>
              <w:t>2</w:t>
            </w:r>
            <w:r w:rsidRPr="00D2796E">
              <w:rPr>
                <w:rFonts w:ascii="Times New Roman" w:eastAsia="標楷體" w:hAnsi="Times New Roman" w:cs="Times New Roman"/>
                <w:color w:val="000000" w:themeColor="text1"/>
                <w:sz w:val="28"/>
                <w:szCs w:val="28"/>
              </w:rPr>
              <w:t>小時</w:t>
            </w:r>
            <w:proofErr w:type="gramEnd"/>
            <w:r w:rsidRPr="00D2796E">
              <w:rPr>
                <w:rFonts w:ascii="Times New Roman" w:eastAsia="標楷體" w:hAnsi="Times New Roman" w:cs="Times New Roman"/>
                <w:color w:val="000000" w:themeColor="text1"/>
                <w:sz w:val="28"/>
                <w:szCs w:val="28"/>
              </w:rPr>
              <w:t>以上比率</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一般</w:t>
            </w:r>
            <w:proofErr w:type="gramStart"/>
            <w:r w:rsidRPr="00D2796E">
              <w:rPr>
                <w:rFonts w:ascii="Times New Roman" w:eastAsia="標楷體" w:hAnsi="Times New Roman" w:cs="Times New Roman"/>
                <w:color w:val="000000" w:themeColor="text1"/>
                <w:szCs w:val="28"/>
              </w:rPr>
              <w:t>公務人員參訓</w:t>
            </w:r>
            <w:r w:rsidRPr="00D2796E">
              <w:rPr>
                <w:rFonts w:ascii="Times New Roman" w:eastAsia="標楷體" w:hAnsi="Times New Roman" w:cs="Times New Roman"/>
                <w:color w:val="000000" w:themeColor="text1"/>
                <w:szCs w:val="28"/>
              </w:rPr>
              <w:t>2</w:t>
            </w:r>
            <w:r w:rsidRPr="00D2796E">
              <w:rPr>
                <w:rFonts w:ascii="Times New Roman" w:eastAsia="標楷體" w:hAnsi="Times New Roman" w:cs="Times New Roman"/>
                <w:color w:val="000000" w:themeColor="text1"/>
                <w:szCs w:val="28"/>
              </w:rPr>
              <w:t>小時</w:t>
            </w:r>
            <w:proofErr w:type="gramEnd"/>
            <w:r w:rsidRPr="00D2796E">
              <w:rPr>
                <w:rFonts w:ascii="Times New Roman" w:eastAsia="標楷體" w:hAnsi="Times New Roman" w:cs="Times New Roman"/>
                <w:color w:val="000000" w:themeColor="text1"/>
                <w:szCs w:val="28"/>
              </w:rPr>
              <w:t>以上人數</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一般公務人員總人數</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sym w:font="Wingdings 2" w:char="F0CD"/>
            </w:r>
            <w:r w:rsidRPr="00D2796E">
              <w:rPr>
                <w:rFonts w:ascii="Times New Roman" w:eastAsia="標楷體" w:hAnsi="Times New Roman" w:cs="Times New Roman"/>
                <w:color w:val="000000" w:themeColor="text1"/>
                <w:szCs w:val="28"/>
              </w:rPr>
              <w:t>100%</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包含基礎及進階課程</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 w:val="28"/>
                <w:szCs w:val="28"/>
              </w:rPr>
              <w:t>。</w:t>
            </w:r>
            <w:proofErr w:type="gramStart"/>
            <w:r w:rsidRPr="00D2796E">
              <w:rPr>
                <w:rFonts w:ascii="Times New Roman" w:eastAsia="標楷體" w:hAnsi="Times New Roman" w:cs="Times New Roman"/>
                <w:color w:val="000000" w:themeColor="text1"/>
                <w:szCs w:val="28"/>
              </w:rPr>
              <w:t>註</w:t>
            </w:r>
            <w:proofErr w:type="gramEnd"/>
            <w:r w:rsidRPr="00D2796E">
              <w:rPr>
                <w:rFonts w:ascii="Times New Roman" w:eastAsia="標楷體" w:hAnsi="Times New Roman" w:cs="Times New Roman"/>
                <w:color w:val="000000" w:themeColor="text1"/>
                <w:szCs w:val="28"/>
              </w:rPr>
              <w:t>1</w:t>
            </w:r>
          </w:p>
        </w:tc>
        <w:tc>
          <w:tcPr>
            <w:tcW w:w="706" w:type="dxa"/>
            <w:shd w:val="clear" w:color="auto" w:fill="auto"/>
            <w:vAlign w:val="center"/>
          </w:tcPr>
          <w:p w14:paraId="0954B17E" w14:textId="77777777" w:rsidR="00A85A36" w:rsidRPr="00D2796E" w:rsidRDefault="00A85A36" w:rsidP="00771052">
            <w:pPr>
              <w:adjustRightInd w:val="0"/>
              <w:snapToGrid w:val="0"/>
              <w:spacing w:line="400" w:lineRule="atLeast"/>
              <w:ind w:leftChars="-41" w:left="-9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92%</w:t>
            </w:r>
          </w:p>
        </w:tc>
        <w:tc>
          <w:tcPr>
            <w:tcW w:w="706" w:type="dxa"/>
            <w:shd w:val="clear" w:color="auto" w:fill="auto"/>
            <w:vAlign w:val="center"/>
          </w:tcPr>
          <w:p w14:paraId="1129D37E" w14:textId="77777777" w:rsidR="00A85A36" w:rsidRPr="00D2796E" w:rsidRDefault="00A85A36" w:rsidP="00771052">
            <w:pPr>
              <w:adjustRightInd w:val="0"/>
              <w:snapToGrid w:val="0"/>
              <w:spacing w:line="400" w:lineRule="atLeast"/>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93%</w:t>
            </w:r>
          </w:p>
        </w:tc>
        <w:tc>
          <w:tcPr>
            <w:tcW w:w="706" w:type="dxa"/>
            <w:shd w:val="clear" w:color="auto" w:fill="auto"/>
            <w:vAlign w:val="center"/>
          </w:tcPr>
          <w:p w14:paraId="0CA33C67" w14:textId="77777777" w:rsidR="00A85A36" w:rsidRPr="00D2796E" w:rsidRDefault="00A85A36" w:rsidP="00771052">
            <w:pPr>
              <w:adjustRightInd w:val="0"/>
              <w:snapToGrid w:val="0"/>
              <w:spacing w:line="400" w:lineRule="atLeast"/>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94%</w:t>
            </w:r>
          </w:p>
        </w:tc>
        <w:tc>
          <w:tcPr>
            <w:tcW w:w="706" w:type="dxa"/>
            <w:shd w:val="clear" w:color="auto" w:fill="auto"/>
            <w:vAlign w:val="center"/>
          </w:tcPr>
          <w:p w14:paraId="6D50F4A9" w14:textId="77777777" w:rsidR="00A85A36" w:rsidRPr="00D2796E" w:rsidRDefault="00A85A36" w:rsidP="00771052">
            <w:pPr>
              <w:adjustRightInd w:val="0"/>
              <w:snapToGrid w:val="0"/>
              <w:spacing w:line="400" w:lineRule="atLeast"/>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95%</w:t>
            </w:r>
          </w:p>
        </w:tc>
      </w:tr>
      <w:tr w:rsidR="00A85A36" w:rsidRPr="00D2796E" w14:paraId="1D3E2006" w14:textId="77777777" w:rsidTr="00771052">
        <w:trPr>
          <w:trHeight w:val="869"/>
          <w:jc w:val="center"/>
        </w:trPr>
        <w:tc>
          <w:tcPr>
            <w:tcW w:w="496" w:type="dxa"/>
            <w:vMerge/>
            <w:shd w:val="clear" w:color="auto" w:fill="auto"/>
            <w:vAlign w:val="center"/>
          </w:tcPr>
          <w:p w14:paraId="4BC80955" w14:textId="77777777" w:rsidR="00A85A36" w:rsidRPr="00D2796E" w:rsidRDefault="00A85A36" w:rsidP="00771052">
            <w:pPr>
              <w:adjustRightInd w:val="0"/>
              <w:snapToGrid w:val="0"/>
              <w:spacing w:line="400" w:lineRule="atLeast"/>
              <w:rPr>
                <w:rFonts w:ascii="Times New Roman" w:eastAsia="標楷體" w:hAnsi="Times New Roman" w:cs="Times New Roman"/>
                <w:color w:val="000000" w:themeColor="text1"/>
                <w:sz w:val="28"/>
                <w:szCs w:val="28"/>
              </w:rPr>
            </w:pPr>
          </w:p>
        </w:tc>
        <w:tc>
          <w:tcPr>
            <w:tcW w:w="1964" w:type="dxa"/>
            <w:vMerge/>
            <w:shd w:val="clear" w:color="auto" w:fill="auto"/>
            <w:vAlign w:val="center"/>
          </w:tcPr>
          <w:p w14:paraId="541ACD8E" w14:textId="77777777" w:rsidR="00A85A36" w:rsidRPr="00D2796E" w:rsidRDefault="00A85A36" w:rsidP="00771052">
            <w:pPr>
              <w:pStyle w:val="2"/>
              <w:adjustRightInd w:val="0"/>
              <w:snapToGrid w:val="0"/>
              <w:spacing w:line="360" w:lineRule="atLeast"/>
              <w:ind w:leftChars="0" w:left="560" w:hangingChars="200" w:hanging="560"/>
              <w:jc w:val="both"/>
              <w:rPr>
                <w:rFonts w:eastAsia="標楷體"/>
                <w:color w:val="000000" w:themeColor="text1"/>
                <w:sz w:val="28"/>
                <w:szCs w:val="28"/>
              </w:rPr>
            </w:pPr>
          </w:p>
        </w:tc>
        <w:tc>
          <w:tcPr>
            <w:tcW w:w="4502" w:type="dxa"/>
            <w:shd w:val="clear" w:color="auto" w:fill="auto"/>
          </w:tcPr>
          <w:p w14:paraId="234CABF6" w14:textId="77777777" w:rsidR="00A85A36" w:rsidRPr="00D2796E" w:rsidRDefault="00A85A36" w:rsidP="00771052">
            <w:pPr>
              <w:adjustRightInd w:val="0"/>
              <w:snapToGrid w:val="0"/>
              <w:spacing w:line="320" w:lineRule="exact"/>
              <w:ind w:leftChars="15" w:left="36"/>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主管</w:t>
            </w:r>
            <w:proofErr w:type="gramStart"/>
            <w:r w:rsidRPr="00D2796E">
              <w:rPr>
                <w:rFonts w:ascii="Times New Roman" w:eastAsia="標楷體" w:hAnsi="Times New Roman" w:cs="Times New Roman"/>
                <w:color w:val="000000" w:themeColor="text1"/>
                <w:sz w:val="28"/>
                <w:szCs w:val="28"/>
              </w:rPr>
              <w:t>人員參訓</w:t>
            </w:r>
            <w:r w:rsidRPr="00D2796E">
              <w:rPr>
                <w:rFonts w:ascii="Times New Roman" w:eastAsia="標楷體" w:hAnsi="Times New Roman" w:cs="Times New Roman"/>
                <w:color w:val="000000" w:themeColor="text1"/>
                <w:sz w:val="28"/>
                <w:szCs w:val="28"/>
              </w:rPr>
              <w:t>2</w:t>
            </w:r>
            <w:r w:rsidRPr="00D2796E">
              <w:rPr>
                <w:rFonts w:ascii="Times New Roman" w:eastAsia="標楷體" w:hAnsi="Times New Roman" w:cs="Times New Roman"/>
                <w:color w:val="000000" w:themeColor="text1"/>
                <w:sz w:val="28"/>
                <w:szCs w:val="28"/>
              </w:rPr>
              <w:t>小時</w:t>
            </w:r>
            <w:proofErr w:type="gramEnd"/>
            <w:r w:rsidRPr="00D2796E">
              <w:rPr>
                <w:rFonts w:ascii="Times New Roman" w:eastAsia="標楷體" w:hAnsi="Times New Roman" w:cs="Times New Roman"/>
                <w:color w:val="000000" w:themeColor="text1"/>
                <w:sz w:val="28"/>
                <w:szCs w:val="28"/>
              </w:rPr>
              <w:t>以上比率</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主管</w:t>
            </w:r>
            <w:proofErr w:type="gramStart"/>
            <w:r w:rsidRPr="00D2796E">
              <w:rPr>
                <w:rFonts w:ascii="Times New Roman" w:eastAsia="標楷體" w:hAnsi="Times New Roman" w:cs="Times New Roman"/>
                <w:color w:val="000000" w:themeColor="text1"/>
                <w:szCs w:val="28"/>
              </w:rPr>
              <w:t>人員參訓</w:t>
            </w:r>
            <w:r w:rsidRPr="00D2796E">
              <w:rPr>
                <w:rFonts w:ascii="Times New Roman" w:eastAsia="標楷體" w:hAnsi="Times New Roman" w:cs="Times New Roman"/>
                <w:color w:val="000000" w:themeColor="text1"/>
                <w:szCs w:val="28"/>
              </w:rPr>
              <w:t>2</w:t>
            </w:r>
            <w:r w:rsidRPr="00D2796E">
              <w:rPr>
                <w:rFonts w:ascii="Times New Roman" w:eastAsia="標楷體" w:hAnsi="Times New Roman" w:cs="Times New Roman"/>
                <w:color w:val="000000" w:themeColor="text1"/>
                <w:szCs w:val="28"/>
              </w:rPr>
              <w:t>小時</w:t>
            </w:r>
            <w:proofErr w:type="gramEnd"/>
            <w:r w:rsidRPr="00D2796E">
              <w:rPr>
                <w:rFonts w:ascii="Times New Roman" w:eastAsia="標楷體" w:hAnsi="Times New Roman" w:cs="Times New Roman"/>
                <w:color w:val="000000" w:themeColor="text1"/>
                <w:szCs w:val="28"/>
              </w:rPr>
              <w:t>以上人數</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主管人員總人數</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sym w:font="Wingdings 2" w:char="F0CD"/>
            </w:r>
            <w:r w:rsidRPr="00D2796E">
              <w:rPr>
                <w:rFonts w:ascii="Times New Roman" w:eastAsia="標楷體" w:hAnsi="Times New Roman" w:cs="Times New Roman"/>
                <w:color w:val="000000" w:themeColor="text1"/>
                <w:szCs w:val="28"/>
              </w:rPr>
              <w:t>100%</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包含基礎及進階課程</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w:t>
            </w:r>
            <w:proofErr w:type="gramStart"/>
            <w:r w:rsidRPr="00D2796E">
              <w:rPr>
                <w:rFonts w:ascii="Times New Roman" w:eastAsia="標楷體" w:hAnsi="Times New Roman" w:cs="Times New Roman"/>
                <w:color w:val="000000" w:themeColor="text1"/>
                <w:szCs w:val="28"/>
              </w:rPr>
              <w:t>註</w:t>
            </w:r>
            <w:proofErr w:type="gramEnd"/>
            <w:r w:rsidRPr="00D2796E">
              <w:rPr>
                <w:rFonts w:ascii="Times New Roman" w:eastAsia="標楷體" w:hAnsi="Times New Roman" w:cs="Times New Roman"/>
                <w:color w:val="000000" w:themeColor="text1"/>
                <w:szCs w:val="28"/>
              </w:rPr>
              <w:t>2</w:t>
            </w:r>
          </w:p>
        </w:tc>
        <w:tc>
          <w:tcPr>
            <w:tcW w:w="706" w:type="dxa"/>
            <w:shd w:val="clear" w:color="auto" w:fill="auto"/>
            <w:vAlign w:val="center"/>
          </w:tcPr>
          <w:p w14:paraId="4F6DBB02" w14:textId="77777777" w:rsidR="00A85A36" w:rsidRPr="00D2796E" w:rsidRDefault="00A85A36" w:rsidP="00771052">
            <w:pPr>
              <w:adjustRightInd w:val="0"/>
              <w:snapToGrid w:val="0"/>
              <w:spacing w:line="400" w:lineRule="atLeast"/>
              <w:ind w:leftChars="-41" w:left="-9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92%</w:t>
            </w:r>
          </w:p>
        </w:tc>
        <w:tc>
          <w:tcPr>
            <w:tcW w:w="706" w:type="dxa"/>
            <w:shd w:val="clear" w:color="auto" w:fill="auto"/>
            <w:vAlign w:val="center"/>
          </w:tcPr>
          <w:p w14:paraId="3FAC0FDF" w14:textId="77777777" w:rsidR="00A85A36" w:rsidRPr="00D2796E" w:rsidRDefault="00A85A36" w:rsidP="00771052">
            <w:pPr>
              <w:adjustRightInd w:val="0"/>
              <w:snapToGrid w:val="0"/>
              <w:spacing w:line="400" w:lineRule="atLeast"/>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93%</w:t>
            </w:r>
          </w:p>
        </w:tc>
        <w:tc>
          <w:tcPr>
            <w:tcW w:w="706" w:type="dxa"/>
            <w:shd w:val="clear" w:color="auto" w:fill="auto"/>
            <w:vAlign w:val="center"/>
          </w:tcPr>
          <w:p w14:paraId="46E9B72D" w14:textId="77777777" w:rsidR="00A85A36" w:rsidRPr="00D2796E" w:rsidRDefault="00A85A36" w:rsidP="00771052">
            <w:pPr>
              <w:adjustRightInd w:val="0"/>
              <w:snapToGrid w:val="0"/>
              <w:spacing w:line="400" w:lineRule="atLeast"/>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94%</w:t>
            </w:r>
          </w:p>
        </w:tc>
        <w:tc>
          <w:tcPr>
            <w:tcW w:w="706" w:type="dxa"/>
            <w:shd w:val="clear" w:color="auto" w:fill="auto"/>
            <w:vAlign w:val="center"/>
          </w:tcPr>
          <w:p w14:paraId="0F251909" w14:textId="77777777" w:rsidR="00A85A36" w:rsidRPr="00D2796E" w:rsidRDefault="00A85A36" w:rsidP="00771052">
            <w:pPr>
              <w:adjustRightInd w:val="0"/>
              <w:snapToGrid w:val="0"/>
              <w:spacing w:line="400" w:lineRule="atLeast"/>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95%</w:t>
            </w:r>
          </w:p>
        </w:tc>
      </w:tr>
      <w:tr w:rsidR="00A85A36" w:rsidRPr="00D2796E" w14:paraId="020AA66B" w14:textId="77777777" w:rsidTr="00771052">
        <w:trPr>
          <w:trHeight w:val="869"/>
          <w:jc w:val="center"/>
        </w:trPr>
        <w:tc>
          <w:tcPr>
            <w:tcW w:w="496" w:type="dxa"/>
            <w:vMerge/>
            <w:shd w:val="clear" w:color="auto" w:fill="auto"/>
            <w:vAlign w:val="center"/>
          </w:tcPr>
          <w:p w14:paraId="735F5108"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p>
        </w:tc>
        <w:tc>
          <w:tcPr>
            <w:tcW w:w="1964" w:type="dxa"/>
            <w:vMerge/>
            <w:shd w:val="clear" w:color="auto" w:fill="auto"/>
            <w:vAlign w:val="center"/>
          </w:tcPr>
          <w:p w14:paraId="2AB48B5B" w14:textId="77777777" w:rsidR="00A85A36" w:rsidRPr="00D2796E" w:rsidRDefault="00A85A36" w:rsidP="00771052">
            <w:pPr>
              <w:pStyle w:val="2"/>
              <w:adjustRightInd w:val="0"/>
              <w:snapToGrid w:val="0"/>
              <w:spacing w:line="360" w:lineRule="atLeast"/>
              <w:ind w:leftChars="0" w:left="0"/>
              <w:jc w:val="both"/>
              <w:rPr>
                <w:rFonts w:eastAsia="標楷體"/>
                <w:color w:val="000000" w:themeColor="text1"/>
                <w:sz w:val="28"/>
                <w:szCs w:val="28"/>
              </w:rPr>
            </w:pPr>
          </w:p>
        </w:tc>
        <w:tc>
          <w:tcPr>
            <w:tcW w:w="4502" w:type="dxa"/>
            <w:shd w:val="clear" w:color="auto" w:fill="auto"/>
          </w:tcPr>
          <w:p w14:paraId="6B52E7D1" w14:textId="77777777" w:rsidR="00A85A36" w:rsidRPr="00D2796E" w:rsidRDefault="00A85A36" w:rsidP="00771052">
            <w:pPr>
              <w:adjustRightInd w:val="0"/>
              <w:snapToGrid w:val="0"/>
              <w:spacing w:line="320" w:lineRule="exact"/>
              <w:ind w:leftChars="15" w:left="36"/>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性別平等業務</w:t>
            </w:r>
            <w:proofErr w:type="gramStart"/>
            <w:r w:rsidRPr="00D2796E">
              <w:rPr>
                <w:rFonts w:ascii="Times New Roman" w:eastAsia="標楷體" w:hAnsi="Times New Roman" w:cs="Times New Roman"/>
                <w:color w:val="000000" w:themeColor="text1"/>
                <w:sz w:val="28"/>
                <w:szCs w:val="28"/>
              </w:rPr>
              <w:t>人員參訓</w:t>
            </w:r>
            <w:r w:rsidRPr="00D2796E">
              <w:rPr>
                <w:rFonts w:ascii="Times New Roman" w:eastAsia="標楷體" w:hAnsi="Times New Roman" w:cs="Times New Roman"/>
                <w:color w:val="000000" w:themeColor="text1"/>
                <w:sz w:val="28"/>
                <w:szCs w:val="28"/>
              </w:rPr>
              <w:t>10</w:t>
            </w:r>
            <w:r w:rsidRPr="00D2796E">
              <w:rPr>
                <w:rFonts w:ascii="Times New Roman" w:eastAsia="標楷體" w:hAnsi="Times New Roman" w:cs="Times New Roman"/>
                <w:color w:val="000000" w:themeColor="text1"/>
                <w:sz w:val="28"/>
                <w:szCs w:val="28"/>
              </w:rPr>
              <w:t>小時</w:t>
            </w:r>
            <w:proofErr w:type="gramEnd"/>
            <w:r w:rsidRPr="00D2796E">
              <w:rPr>
                <w:rFonts w:ascii="Times New Roman" w:eastAsia="標楷體" w:hAnsi="Times New Roman" w:cs="Times New Roman"/>
                <w:color w:val="000000" w:themeColor="text1"/>
                <w:sz w:val="28"/>
                <w:szCs w:val="28"/>
              </w:rPr>
              <w:t>以上比率</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性別平等業務</w:t>
            </w:r>
            <w:proofErr w:type="gramStart"/>
            <w:r w:rsidRPr="00D2796E">
              <w:rPr>
                <w:rFonts w:ascii="Times New Roman" w:eastAsia="標楷體" w:hAnsi="Times New Roman" w:cs="Times New Roman"/>
                <w:color w:val="000000" w:themeColor="text1"/>
                <w:szCs w:val="28"/>
              </w:rPr>
              <w:t>人員參訓</w:t>
            </w:r>
            <w:r w:rsidRPr="00D2796E">
              <w:rPr>
                <w:rFonts w:ascii="Times New Roman" w:eastAsia="標楷體" w:hAnsi="Times New Roman" w:cs="Times New Roman"/>
                <w:color w:val="000000" w:themeColor="text1"/>
                <w:szCs w:val="28"/>
              </w:rPr>
              <w:t>10</w:t>
            </w:r>
            <w:r w:rsidRPr="00D2796E">
              <w:rPr>
                <w:rFonts w:ascii="Times New Roman" w:eastAsia="標楷體" w:hAnsi="Times New Roman" w:cs="Times New Roman"/>
                <w:color w:val="000000" w:themeColor="text1"/>
                <w:szCs w:val="28"/>
              </w:rPr>
              <w:t>小時</w:t>
            </w:r>
            <w:proofErr w:type="gramEnd"/>
            <w:r w:rsidRPr="00D2796E">
              <w:rPr>
                <w:rFonts w:ascii="Times New Roman" w:eastAsia="標楷體" w:hAnsi="Times New Roman" w:cs="Times New Roman"/>
                <w:color w:val="000000" w:themeColor="text1"/>
                <w:szCs w:val="28"/>
              </w:rPr>
              <w:t>以上人數</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t>性別平等業務人員總人數</w:t>
            </w:r>
            <w:r w:rsidRPr="00D2796E">
              <w:rPr>
                <w:rFonts w:ascii="Times New Roman" w:eastAsia="標楷體" w:hAnsi="Times New Roman" w:cs="Times New Roman"/>
                <w:color w:val="000000" w:themeColor="text1"/>
                <w:szCs w:val="28"/>
              </w:rPr>
              <w:t>)</w:t>
            </w:r>
            <w:r w:rsidRPr="00D2796E">
              <w:rPr>
                <w:rFonts w:ascii="Times New Roman" w:eastAsia="標楷體" w:hAnsi="Times New Roman" w:cs="Times New Roman"/>
                <w:color w:val="000000" w:themeColor="text1"/>
                <w:szCs w:val="28"/>
              </w:rPr>
              <w:sym w:font="Wingdings 2" w:char="F0CD"/>
            </w:r>
            <w:r w:rsidRPr="00D2796E">
              <w:rPr>
                <w:rFonts w:ascii="Times New Roman" w:eastAsia="標楷體" w:hAnsi="Times New Roman" w:cs="Times New Roman"/>
                <w:color w:val="000000" w:themeColor="text1"/>
                <w:szCs w:val="28"/>
              </w:rPr>
              <w:t>100%</w:t>
            </w:r>
            <w:r w:rsidRPr="00D2796E">
              <w:rPr>
                <w:rFonts w:ascii="Times New Roman" w:eastAsia="標楷體" w:hAnsi="Times New Roman" w:cs="Times New Roman"/>
                <w:color w:val="000000" w:themeColor="text1"/>
                <w:szCs w:val="28"/>
              </w:rPr>
              <w:t>。</w:t>
            </w:r>
          </w:p>
        </w:tc>
        <w:tc>
          <w:tcPr>
            <w:tcW w:w="706" w:type="dxa"/>
            <w:shd w:val="clear" w:color="auto" w:fill="auto"/>
            <w:vAlign w:val="center"/>
          </w:tcPr>
          <w:p w14:paraId="66941AE2" w14:textId="77777777" w:rsidR="00A85A36" w:rsidRPr="00D2796E" w:rsidRDefault="00A85A36" w:rsidP="00771052">
            <w:pPr>
              <w:adjustRightInd w:val="0"/>
              <w:snapToGrid w:val="0"/>
              <w:spacing w:line="400" w:lineRule="atLeast"/>
              <w:ind w:leftChars="-41" w:left="-9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90%</w:t>
            </w:r>
          </w:p>
        </w:tc>
        <w:tc>
          <w:tcPr>
            <w:tcW w:w="706" w:type="dxa"/>
            <w:shd w:val="clear" w:color="auto" w:fill="auto"/>
            <w:vAlign w:val="center"/>
          </w:tcPr>
          <w:p w14:paraId="5AD847E9" w14:textId="77777777" w:rsidR="00A85A36" w:rsidRPr="00D2796E" w:rsidRDefault="00A85A36" w:rsidP="00771052">
            <w:pPr>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92%</w:t>
            </w:r>
          </w:p>
        </w:tc>
        <w:tc>
          <w:tcPr>
            <w:tcW w:w="706" w:type="dxa"/>
            <w:shd w:val="clear" w:color="auto" w:fill="auto"/>
            <w:vAlign w:val="center"/>
          </w:tcPr>
          <w:p w14:paraId="364BA07E"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94%</w:t>
            </w:r>
          </w:p>
        </w:tc>
        <w:tc>
          <w:tcPr>
            <w:tcW w:w="706" w:type="dxa"/>
            <w:shd w:val="clear" w:color="auto" w:fill="auto"/>
            <w:vAlign w:val="center"/>
          </w:tcPr>
          <w:p w14:paraId="0E58DC5D"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96%</w:t>
            </w:r>
          </w:p>
        </w:tc>
      </w:tr>
      <w:tr w:rsidR="00A85A36" w:rsidRPr="00D2796E" w14:paraId="0E0A0405" w14:textId="77777777" w:rsidTr="00771052">
        <w:trPr>
          <w:trHeight w:val="869"/>
          <w:jc w:val="center"/>
        </w:trPr>
        <w:tc>
          <w:tcPr>
            <w:tcW w:w="496" w:type="dxa"/>
            <w:vMerge/>
            <w:shd w:val="clear" w:color="auto" w:fill="auto"/>
            <w:vAlign w:val="center"/>
          </w:tcPr>
          <w:p w14:paraId="6D9F070C"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p>
        </w:tc>
        <w:tc>
          <w:tcPr>
            <w:tcW w:w="1964" w:type="dxa"/>
            <w:vMerge/>
            <w:shd w:val="clear" w:color="auto" w:fill="auto"/>
            <w:vAlign w:val="center"/>
          </w:tcPr>
          <w:p w14:paraId="08DE4FB3" w14:textId="77777777" w:rsidR="00A85A36" w:rsidRPr="00D2796E" w:rsidRDefault="00A85A36" w:rsidP="00771052">
            <w:pPr>
              <w:pStyle w:val="2"/>
              <w:adjustRightInd w:val="0"/>
              <w:snapToGrid w:val="0"/>
              <w:spacing w:line="360" w:lineRule="atLeast"/>
              <w:ind w:leftChars="0" w:left="0"/>
              <w:jc w:val="both"/>
              <w:rPr>
                <w:rFonts w:eastAsia="標楷體"/>
                <w:color w:val="000000" w:themeColor="text1"/>
                <w:sz w:val="28"/>
                <w:szCs w:val="28"/>
              </w:rPr>
            </w:pPr>
          </w:p>
        </w:tc>
        <w:tc>
          <w:tcPr>
            <w:tcW w:w="4502" w:type="dxa"/>
            <w:shd w:val="clear" w:color="auto" w:fill="auto"/>
          </w:tcPr>
          <w:p w14:paraId="53A445A4" w14:textId="77777777" w:rsidR="00A85A36" w:rsidRPr="00D2796E" w:rsidRDefault="00A85A36" w:rsidP="00771052">
            <w:pPr>
              <w:adjustRightInd w:val="0"/>
              <w:snapToGrid w:val="0"/>
              <w:spacing w:line="320" w:lineRule="exact"/>
              <w:ind w:leftChars="15" w:left="36"/>
              <w:jc w:val="both"/>
              <w:rPr>
                <w:rFonts w:ascii="Times New Roman" w:eastAsia="標楷體" w:hAnsi="Times New Roman" w:cs="Times New Roman"/>
                <w:color w:val="000000" w:themeColor="text1"/>
                <w:sz w:val="28"/>
                <w:szCs w:val="28"/>
              </w:rPr>
            </w:pPr>
            <w:r w:rsidRPr="00D2796E">
              <w:rPr>
                <w:rFonts w:ascii="Times New Roman" w:eastAsia="標楷體" w:hAnsi="Times New Roman"/>
                <w:color w:val="000000" w:themeColor="text1"/>
                <w:szCs w:val="24"/>
              </w:rPr>
              <w:t>性騷擾防治業務</w:t>
            </w:r>
            <w:proofErr w:type="gramStart"/>
            <w:r w:rsidRPr="00D2796E">
              <w:rPr>
                <w:rFonts w:ascii="Times New Roman" w:eastAsia="標楷體" w:hAnsi="Times New Roman"/>
                <w:color w:val="000000" w:themeColor="text1"/>
                <w:szCs w:val="24"/>
              </w:rPr>
              <w:t>人員參訓</w:t>
            </w:r>
            <w:r w:rsidRPr="00D2796E">
              <w:rPr>
                <w:rFonts w:ascii="Times New Roman" w:eastAsia="標楷體" w:hAnsi="Times New Roman"/>
                <w:color w:val="000000" w:themeColor="text1"/>
                <w:szCs w:val="24"/>
              </w:rPr>
              <w:t>10</w:t>
            </w:r>
            <w:r w:rsidRPr="00D2796E">
              <w:rPr>
                <w:rFonts w:ascii="Times New Roman" w:eastAsia="標楷體" w:hAnsi="Times New Roman"/>
                <w:color w:val="000000" w:themeColor="text1"/>
                <w:szCs w:val="24"/>
              </w:rPr>
              <w:t>小時</w:t>
            </w:r>
            <w:proofErr w:type="gramEnd"/>
            <w:r w:rsidRPr="00D2796E">
              <w:rPr>
                <w:rFonts w:ascii="Times New Roman" w:eastAsia="標楷體" w:hAnsi="Times New Roman"/>
                <w:color w:val="000000" w:themeColor="text1"/>
                <w:szCs w:val="24"/>
              </w:rPr>
              <w:t>以上比率</w:t>
            </w:r>
            <w:r w:rsidRPr="00D2796E">
              <w:rPr>
                <w:rFonts w:ascii="Times New Roman" w:eastAsia="標楷體" w:hAnsi="Times New Roman"/>
                <w:color w:val="000000" w:themeColor="text1"/>
                <w:szCs w:val="24"/>
              </w:rPr>
              <w:t>(</w:t>
            </w:r>
            <w:r w:rsidRPr="00D2796E">
              <w:rPr>
                <w:rFonts w:ascii="Times New Roman" w:eastAsia="標楷體" w:hAnsi="Times New Roman"/>
                <w:color w:val="000000" w:themeColor="text1"/>
                <w:szCs w:val="24"/>
              </w:rPr>
              <w:t>性騷擾防治業務</w:t>
            </w:r>
            <w:proofErr w:type="gramStart"/>
            <w:r w:rsidRPr="00D2796E">
              <w:rPr>
                <w:rFonts w:ascii="Times New Roman" w:eastAsia="標楷體" w:hAnsi="Times New Roman"/>
                <w:color w:val="000000" w:themeColor="text1"/>
                <w:szCs w:val="24"/>
              </w:rPr>
              <w:t>人員參訓</w:t>
            </w:r>
            <w:r w:rsidRPr="00D2796E">
              <w:rPr>
                <w:rFonts w:ascii="Times New Roman" w:eastAsia="標楷體" w:hAnsi="Times New Roman"/>
                <w:color w:val="000000" w:themeColor="text1"/>
                <w:szCs w:val="24"/>
              </w:rPr>
              <w:t>10</w:t>
            </w:r>
            <w:r w:rsidRPr="00D2796E">
              <w:rPr>
                <w:rFonts w:ascii="Times New Roman" w:eastAsia="標楷體" w:hAnsi="Times New Roman"/>
                <w:color w:val="000000" w:themeColor="text1"/>
                <w:szCs w:val="24"/>
              </w:rPr>
              <w:t>小時</w:t>
            </w:r>
            <w:proofErr w:type="gramEnd"/>
            <w:r w:rsidRPr="00D2796E">
              <w:rPr>
                <w:rFonts w:ascii="Times New Roman" w:eastAsia="標楷體" w:hAnsi="Times New Roman"/>
                <w:color w:val="000000" w:themeColor="text1"/>
                <w:szCs w:val="24"/>
              </w:rPr>
              <w:t>以上人數</w:t>
            </w:r>
            <w:r w:rsidRPr="00D2796E">
              <w:rPr>
                <w:rFonts w:ascii="Times New Roman" w:eastAsia="標楷體" w:hAnsi="Times New Roman"/>
                <w:color w:val="000000" w:themeColor="text1"/>
                <w:szCs w:val="24"/>
              </w:rPr>
              <w:t>/</w:t>
            </w:r>
            <w:r w:rsidRPr="00D2796E">
              <w:rPr>
                <w:rFonts w:ascii="Times New Roman" w:eastAsia="標楷體" w:hAnsi="Times New Roman"/>
                <w:color w:val="000000" w:themeColor="text1"/>
                <w:szCs w:val="24"/>
              </w:rPr>
              <w:t>性騷擾防治業務人員總人數</w:t>
            </w:r>
            <w:r w:rsidRPr="00D2796E">
              <w:rPr>
                <w:rFonts w:ascii="Times New Roman" w:eastAsia="標楷體" w:hAnsi="Times New Roman"/>
                <w:color w:val="000000" w:themeColor="text1"/>
                <w:szCs w:val="24"/>
              </w:rPr>
              <w:t xml:space="preserve">) </w:t>
            </w:r>
            <w:r w:rsidRPr="00D2796E">
              <w:rPr>
                <w:rFonts w:ascii="Times New Roman" w:eastAsia="標楷體" w:hAnsi="Times New Roman"/>
                <w:color w:val="000000" w:themeColor="text1"/>
                <w:szCs w:val="24"/>
              </w:rPr>
              <w:sym w:font="Wingdings 2" w:char="F0CD"/>
            </w:r>
            <w:r w:rsidRPr="00D2796E">
              <w:rPr>
                <w:rFonts w:ascii="Times New Roman" w:eastAsia="標楷體" w:hAnsi="Times New Roman"/>
                <w:color w:val="000000" w:themeColor="text1"/>
                <w:szCs w:val="24"/>
              </w:rPr>
              <w:t>100%</w:t>
            </w:r>
            <w:r w:rsidRPr="00D2796E">
              <w:rPr>
                <w:rFonts w:ascii="Times New Roman" w:eastAsia="標楷體" w:hAnsi="Times New Roman"/>
                <w:color w:val="000000" w:themeColor="text1"/>
                <w:szCs w:val="24"/>
              </w:rPr>
              <w:t>。</w:t>
            </w:r>
            <w:r w:rsidRPr="00D2796E">
              <w:rPr>
                <w:rFonts w:ascii="Times New Roman" w:eastAsia="標楷體" w:hAnsi="Times New Roman" w:hint="eastAsia"/>
                <w:color w:val="000000" w:themeColor="text1"/>
                <w:szCs w:val="24"/>
              </w:rPr>
              <w:t>應包含</w:t>
            </w:r>
            <w:r w:rsidRPr="00D2796E">
              <w:rPr>
                <w:rFonts w:ascii="Times New Roman" w:eastAsia="標楷體" w:hAnsi="Times New Roman" w:hint="eastAsia"/>
                <w:color w:val="000000" w:themeColor="text1"/>
                <w:szCs w:val="24"/>
              </w:rPr>
              <w:t>2</w:t>
            </w:r>
            <w:r w:rsidRPr="00D2796E">
              <w:rPr>
                <w:rFonts w:ascii="Times New Roman" w:eastAsia="標楷體" w:hAnsi="Times New Roman" w:hint="eastAsia"/>
                <w:color w:val="000000" w:themeColor="text1"/>
                <w:szCs w:val="24"/>
              </w:rPr>
              <w:t>小時以上之性騷擾防治課程</w:t>
            </w:r>
          </w:p>
        </w:tc>
        <w:tc>
          <w:tcPr>
            <w:tcW w:w="706" w:type="dxa"/>
            <w:shd w:val="clear" w:color="auto" w:fill="auto"/>
            <w:vAlign w:val="center"/>
          </w:tcPr>
          <w:p w14:paraId="60108695" w14:textId="77777777" w:rsidR="00A85A36" w:rsidRPr="00D2796E" w:rsidRDefault="00A85A36" w:rsidP="00771052">
            <w:pPr>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hint="eastAsia"/>
                <w:color w:val="000000" w:themeColor="text1"/>
                <w:szCs w:val="24"/>
              </w:rPr>
              <w:t>-</w:t>
            </w:r>
          </w:p>
        </w:tc>
        <w:tc>
          <w:tcPr>
            <w:tcW w:w="706" w:type="dxa"/>
            <w:shd w:val="clear" w:color="auto" w:fill="auto"/>
            <w:vAlign w:val="center"/>
          </w:tcPr>
          <w:p w14:paraId="7507F272" w14:textId="77777777" w:rsidR="00A85A36" w:rsidRPr="00D2796E" w:rsidRDefault="00A85A36" w:rsidP="00771052">
            <w:pPr>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hint="eastAsia"/>
                <w:color w:val="000000" w:themeColor="text1"/>
                <w:szCs w:val="24"/>
              </w:rPr>
              <w:t>92%</w:t>
            </w:r>
          </w:p>
        </w:tc>
        <w:tc>
          <w:tcPr>
            <w:tcW w:w="706" w:type="dxa"/>
            <w:shd w:val="clear" w:color="auto" w:fill="auto"/>
            <w:vAlign w:val="center"/>
          </w:tcPr>
          <w:p w14:paraId="4CECE3F8"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hint="eastAsia"/>
                <w:color w:val="000000" w:themeColor="text1"/>
                <w:szCs w:val="24"/>
              </w:rPr>
              <w:t>94%</w:t>
            </w:r>
          </w:p>
        </w:tc>
        <w:tc>
          <w:tcPr>
            <w:tcW w:w="706" w:type="dxa"/>
            <w:shd w:val="clear" w:color="auto" w:fill="auto"/>
            <w:vAlign w:val="center"/>
          </w:tcPr>
          <w:p w14:paraId="36F271F1"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hint="eastAsia"/>
                <w:color w:val="000000" w:themeColor="text1"/>
                <w:szCs w:val="24"/>
              </w:rPr>
              <w:t>96%</w:t>
            </w:r>
          </w:p>
        </w:tc>
      </w:tr>
      <w:tr w:rsidR="00A85A36" w:rsidRPr="00D2796E" w14:paraId="5EFF6A53" w14:textId="77777777" w:rsidTr="00771052">
        <w:trPr>
          <w:trHeight w:val="946"/>
          <w:jc w:val="center"/>
        </w:trPr>
        <w:tc>
          <w:tcPr>
            <w:tcW w:w="496" w:type="dxa"/>
            <w:shd w:val="clear" w:color="auto" w:fill="auto"/>
            <w:vAlign w:val="center"/>
          </w:tcPr>
          <w:p w14:paraId="3148E2A6"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hint="eastAsia"/>
                <w:color w:val="000000" w:themeColor="text1"/>
                <w:sz w:val="28"/>
                <w:szCs w:val="28"/>
              </w:rPr>
              <w:t>2</w:t>
            </w:r>
          </w:p>
        </w:tc>
        <w:tc>
          <w:tcPr>
            <w:tcW w:w="1964" w:type="dxa"/>
            <w:shd w:val="clear" w:color="auto" w:fill="auto"/>
            <w:vAlign w:val="center"/>
          </w:tcPr>
          <w:p w14:paraId="542BC1EF" w14:textId="77777777" w:rsidR="00A85A36" w:rsidRPr="00D2796E" w:rsidRDefault="00A85A36" w:rsidP="00771052">
            <w:pPr>
              <w:pStyle w:val="Default"/>
              <w:snapToGrid w:val="0"/>
              <w:spacing w:line="360" w:lineRule="atLeast"/>
              <w:jc w:val="both"/>
              <w:rPr>
                <w:rFonts w:ascii="Times New Roman" w:eastAsia="標楷體" w:hAnsi="Times New Roman" w:cs="Times New Roman"/>
                <w:color w:val="000000" w:themeColor="text1"/>
                <w:kern w:val="2"/>
                <w:sz w:val="28"/>
                <w:szCs w:val="28"/>
              </w:rPr>
            </w:pPr>
            <w:r w:rsidRPr="00D2796E">
              <w:rPr>
                <w:rFonts w:ascii="Times New Roman" w:eastAsia="標楷體" w:hAnsi="Times New Roman" w:cs="Times New Roman"/>
                <w:color w:val="000000" w:themeColor="text1"/>
                <w:kern w:val="2"/>
                <w:sz w:val="28"/>
                <w:szCs w:val="28"/>
              </w:rPr>
              <w:t>重大施政計畫類性別影響評估之案件數</w:t>
            </w:r>
          </w:p>
        </w:tc>
        <w:tc>
          <w:tcPr>
            <w:tcW w:w="4502" w:type="dxa"/>
            <w:shd w:val="clear" w:color="auto" w:fill="auto"/>
            <w:vAlign w:val="center"/>
          </w:tcPr>
          <w:p w14:paraId="2DBBE08A" w14:textId="77777777" w:rsidR="00A85A36" w:rsidRPr="00D2796E" w:rsidRDefault="00A85A36" w:rsidP="00771052">
            <w:pPr>
              <w:adjustRightInd w:val="0"/>
              <w:snapToGrid w:val="0"/>
              <w:spacing w:line="320" w:lineRule="exact"/>
              <w:jc w:val="both"/>
              <w:rPr>
                <w:rFonts w:ascii="Times New Roman" w:eastAsia="標楷體" w:hAnsi="Times New Roman" w:cs="Times New Roman"/>
                <w:color w:val="000000" w:themeColor="text1"/>
                <w:sz w:val="28"/>
                <w:szCs w:val="28"/>
              </w:rPr>
            </w:pPr>
            <w:proofErr w:type="gramStart"/>
            <w:r w:rsidRPr="00D2796E">
              <w:rPr>
                <w:rFonts w:ascii="Times New Roman" w:eastAsia="標楷體" w:hAnsi="Times New Roman" w:cs="Times New Roman"/>
                <w:color w:val="000000" w:themeColor="text1"/>
                <w:sz w:val="28"/>
                <w:szCs w:val="28"/>
              </w:rPr>
              <w:t>辦理本類性別</w:t>
            </w:r>
            <w:proofErr w:type="gramEnd"/>
            <w:r w:rsidRPr="00D2796E">
              <w:rPr>
                <w:rFonts w:ascii="Times New Roman" w:eastAsia="標楷體" w:hAnsi="Times New Roman" w:cs="Times New Roman"/>
                <w:color w:val="000000" w:themeColor="text1"/>
                <w:sz w:val="28"/>
                <w:szCs w:val="28"/>
              </w:rPr>
              <w:t>影響評估案件數。</w:t>
            </w:r>
          </w:p>
        </w:tc>
        <w:tc>
          <w:tcPr>
            <w:tcW w:w="706" w:type="dxa"/>
            <w:shd w:val="clear" w:color="auto" w:fill="auto"/>
            <w:vAlign w:val="center"/>
          </w:tcPr>
          <w:p w14:paraId="1BA1EB7F" w14:textId="77777777" w:rsidR="00A85A36" w:rsidRPr="00D2796E" w:rsidRDefault="00A85A36" w:rsidP="00771052">
            <w:pPr>
              <w:adjustRightInd w:val="0"/>
              <w:snapToGrid w:val="0"/>
              <w:spacing w:line="400" w:lineRule="atLeast"/>
              <w:ind w:leftChars="-41" w:left="-9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706" w:type="dxa"/>
            <w:shd w:val="clear" w:color="auto" w:fill="auto"/>
            <w:vAlign w:val="center"/>
          </w:tcPr>
          <w:p w14:paraId="2DD4270D" w14:textId="77777777" w:rsidR="00A85A36" w:rsidRPr="00D2796E" w:rsidRDefault="00A85A36" w:rsidP="00771052">
            <w:pPr>
              <w:adjustRightInd w:val="0"/>
              <w:snapToGrid w:val="0"/>
              <w:spacing w:line="400" w:lineRule="atLeast"/>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706" w:type="dxa"/>
            <w:shd w:val="clear" w:color="auto" w:fill="auto"/>
            <w:vAlign w:val="center"/>
          </w:tcPr>
          <w:p w14:paraId="3EEAF53D" w14:textId="77777777" w:rsidR="00A85A36" w:rsidRPr="00D2796E" w:rsidRDefault="00A85A36" w:rsidP="00771052">
            <w:pPr>
              <w:adjustRightInd w:val="0"/>
              <w:snapToGrid w:val="0"/>
              <w:spacing w:line="400" w:lineRule="atLeast"/>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706" w:type="dxa"/>
            <w:shd w:val="clear" w:color="auto" w:fill="auto"/>
            <w:vAlign w:val="center"/>
          </w:tcPr>
          <w:p w14:paraId="56CF04FE" w14:textId="77777777" w:rsidR="00A85A36" w:rsidRPr="00D2796E" w:rsidRDefault="00A85A36" w:rsidP="00771052">
            <w:pPr>
              <w:adjustRightInd w:val="0"/>
              <w:snapToGrid w:val="0"/>
              <w:spacing w:line="400" w:lineRule="atLeast"/>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r>
      <w:tr w:rsidR="00A85A36" w:rsidRPr="00D2796E" w14:paraId="68E99513" w14:textId="77777777" w:rsidTr="00771052">
        <w:trPr>
          <w:trHeight w:val="898"/>
          <w:jc w:val="center"/>
        </w:trPr>
        <w:tc>
          <w:tcPr>
            <w:tcW w:w="496" w:type="dxa"/>
            <w:shd w:val="clear" w:color="auto" w:fill="auto"/>
            <w:vAlign w:val="center"/>
          </w:tcPr>
          <w:p w14:paraId="079EDB21"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3</w:t>
            </w:r>
          </w:p>
        </w:tc>
        <w:tc>
          <w:tcPr>
            <w:tcW w:w="1964" w:type="dxa"/>
            <w:shd w:val="clear" w:color="auto" w:fill="auto"/>
            <w:vAlign w:val="center"/>
          </w:tcPr>
          <w:p w14:paraId="744946D2" w14:textId="77777777" w:rsidR="00A85A36" w:rsidRPr="00D2796E" w:rsidRDefault="00A85A36" w:rsidP="00771052">
            <w:pPr>
              <w:pStyle w:val="Default"/>
              <w:snapToGrid w:val="0"/>
              <w:spacing w:line="360" w:lineRule="atLeast"/>
              <w:jc w:val="both"/>
              <w:rPr>
                <w:rFonts w:ascii="Times New Roman" w:eastAsia="標楷體" w:hAnsi="Times New Roman" w:cs="Times New Roman"/>
                <w:color w:val="000000" w:themeColor="text1"/>
                <w:kern w:val="2"/>
                <w:sz w:val="28"/>
                <w:szCs w:val="28"/>
              </w:rPr>
            </w:pPr>
            <w:r w:rsidRPr="00D2796E">
              <w:rPr>
                <w:rFonts w:ascii="Times New Roman" w:eastAsia="標楷體" w:hAnsi="Times New Roman" w:cs="Times New Roman"/>
                <w:color w:val="000000" w:themeColor="text1"/>
                <w:kern w:val="2"/>
                <w:sz w:val="28"/>
                <w:szCs w:val="28"/>
              </w:rPr>
              <w:t>非重大施政計畫類性別影響評估之案件數</w:t>
            </w:r>
          </w:p>
        </w:tc>
        <w:tc>
          <w:tcPr>
            <w:tcW w:w="4502" w:type="dxa"/>
            <w:shd w:val="clear" w:color="auto" w:fill="auto"/>
            <w:vAlign w:val="center"/>
          </w:tcPr>
          <w:p w14:paraId="3A2ECB38" w14:textId="77777777" w:rsidR="00A85A36" w:rsidRPr="00D2796E" w:rsidRDefault="00A85A36" w:rsidP="00771052">
            <w:pPr>
              <w:adjustRightInd w:val="0"/>
              <w:snapToGrid w:val="0"/>
              <w:spacing w:line="320" w:lineRule="exact"/>
              <w:jc w:val="both"/>
              <w:rPr>
                <w:rFonts w:ascii="Times New Roman" w:eastAsia="標楷體" w:hAnsi="Times New Roman" w:cs="Times New Roman"/>
                <w:color w:val="000000" w:themeColor="text1"/>
                <w:sz w:val="28"/>
                <w:szCs w:val="28"/>
              </w:rPr>
            </w:pPr>
            <w:proofErr w:type="gramStart"/>
            <w:r w:rsidRPr="00D2796E">
              <w:rPr>
                <w:rFonts w:ascii="Times New Roman" w:eastAsia="標楷體" w:hAnsi="Times New Roman" w:cs="Times New Roman"/>
                <w:color w:val="000000" w:themeColor="text1"/>
                <w:sz w:val="28"/>
                <w:szCs w:val="28"/>
              </w:rPr>
              <w:t>辦理本類性別</w:t>
            </w:r>
            <w:proofErr w:type="gramEnd"/>
            <w:r w:rsidRPr="00D2796E">
              <w:rPr>
                <w:rFonts w:ascii="Times New Roman" w:eastAsia="標楷體" w:hAnsi="Times New Roman" w:cs="Times New Roman"/>
                <w:color w:val="000000" w:themeColor="text1"/>
                <w:sz w:val="28"/>
                <w:szCs w:val="28"/>
              </w:rPr>
              <w:t>影響評估案件數。</w:t>
            </w:r>
          </w:p>
        </w:tc>
        <w:tc>
          <w:tcPr>
            <w:tcW w:w="706" w:type="dxa"/>
            <w:shd w:val="clear" w:color="auto" w:fill="auto"/>
            <w:vAlign w:val="center"/>
          </w:tcPr>
          <w:p w14:paraId="3036F099" w14:textId="77777777" w:rsidR="00A85A36" w:rsidRPr="00D2796E" w:rsidRDefault="00A85A36" w:rsidP="00771052">
            <w:pPr>
              <w:adjustRightInd w:val="0"/>
              <w:snapToGrid w:val="0"/>
              <w:spacing w:line="400" w:lineRule="atLeast"/>
              <w:ind w:leftChars="-41" w:left="-9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706" w:type="dxa"/>
            <w:shd w:val="clear" w:color="auto" w:fill="auto"/>
            <w:vAlign w:val="center"/>
          </w:tcPr>
          <w:p w14:paraId="46B8DB79" w14:textId="77777777" w:rsidR="00A85A36" w:rsidRPr="00D2796E" w:rsidRDefault="00A85A36" w:rsidP="00771052">
            <w:pPr>
              <w:adjustRightInd w:val="0"/>
              <w:snapToGrid w:val="0"/>
              <w:spacing w:line="400" w:lineRule="atLeast"/>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706" w:type="dxa"/>
            <w:shd w:val="clear" w:color="auto" w:fill="auto"/>
            <w:vAlign w:val="center"/>
          </w:tcPr>
          <w:p w14:paraId="3CC88C25" w14:textId="77777777" w:rsidR="00A85A36" w:rsidRPr="00D2796E" w:rsidRDefault="00A85A36" w:rsidP="00771052">
            <w:pPr>
              <w:adjustRightInd w:val="0"/>
              <w:snapToGrid w:val="0"/>
              <w:spacing w:line="400" w:lineRule="atLeast"/>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706" w:type="dxa"/>
            <w:shd w:val="clear" w:color="auto" w:fill="auto"/>
            <w:vAlign w:val="center"/>
          </w:tcPr>
          <w:p w14:paraId="74B54373" w14:textId="77777777" w:rsidR="00A85A36" w:rsidRPr="00D2796E" w:rsidRDefault="00A85A36" w:rsidP="00771052">
            <w:pPr>
              <w:adjustRightInd w:val="0"/>
              <w:snapToGrid w:val="0"/>
              <w:spacing w:line="400" w:lineRule="atLeast"/>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r>
      <w:tr w:rsidR="00A85A36" w:rsidRPr="00D2796E" w14:paraId="706FCB8A" w14:textId="77777777" w:rsidTr="00771052">
        <w:trPr>
          <w:trHeight w:val="365"/>
          <w:jc w:val="center"/>
        </w:trPr>
        <w:tc>
          <w:tcPr>
            <w:tcW w:w="496" w:type="dxa"/>
            <w:shd w:val="clear" w:color="auto" w:fill="auto"/>
            <w:vAlign w:val="center"/>
          </w:tcPr>
          <w:p w14:paraId="6408F54F"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4</w:t>
            </w:r>
          </w:p>
        </w:tc>
        <w:tc>
          <w:tcPr>
            <w:tcW w:w="1964" w:type="dxa"/>
            <w:shd w:val="clear" w:color="auto" w:fill="auto"/>
            <w:vAlign w:val="center"/>
          </w:tcPr>
          <w:p w14:paraId="46B7B7C2" w14:textId="77777777" w:rsidR="00A85A36" w:rsidRPr="00D2796E" w:rsidRDefault="00A85A36" w:rsidP="00771052">
            <w:pPr>
              <w:pStyle w:val="Default"/>
              <w:snapToGrid w:val="0"/>
              <w:spacing w:line="360" w:lineRule="atLeast"/>
              <w:jc w:val="both"/>
              <w:rPr>
                <w:rFonts w:ascii="Times New Roman" w:eastAsia="標楷體" w:hAnsi="Times New Roman" w:cs="Times New Roman"/>
                <w:color w:val="000000" w:themeColor="text1"/>
                <w:kern w:val="2"/>
                <w:sz w:val="28"/>
                <w:szCs w:val="28"/>
              </w:rPr>
            </w:pPr>
            <w:r w:rsidRPr="00D2796E">
              <w:rPr>
                <w:rFonts w:ascii="Times New Roman" w:eastAsia="標楷體" w:hAnsi="Times New Roman" w:cs="Times New Roman"/>
                <w:color w:val="000000" w:themeColor="text1"/>
                <w:kern w:val="2"/>
                <w:sz w:val="28"/>
                <w:szCs w:val="28"/>
              </w:rPr>
              <w:t>性別統計指標項目新增數</w:t>
            </w:r>
          </w:p>
        </w:tc>
        <w:tc>
          <w:tcPr>
            <w:tcW w:w="4502" w:type="dxa"/>
            <w:shd w:val="clear" w:color="auto" w:fill="auto"/>
            <w:vAlign w:val="center"/>
          </w:tcPr>
          <w:p w14:paraId="11116213" w14:textId="77777777" w:rsidR="00A85A36" w:rsidRPr="00D2796E" w:rsidRDefault="00A85A36" w:rsidP="00771052">
            <w:pPr>
              <w:adjustRightInd w:val="0"/>
              <w:snapToGrid w:val="0"/>
              <w:spacing w:line="320" w:lineRule="exact"/>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本局及所屬機關當年度新增並公布於機關網頁之性別統計指標項目數。</w:t>
            </w:r>
          </w:p>
        </w:tc>
        <w:tc>
          <w:tcPr>
            <w:tcW w:w="706" w:type="dxa"/>
            <w:shd w:val="clear" w:color="auto" w:fill="auto"/>
            <w:vAlign w:val="center"/>
          </w:tcPr>
          <w:p w14:paraId="62EC2926" w14:textId="77777777" w:rsidR="00A85A36" w:rsidRPr="00D2796E" w:rsidRDefault="00A85A36" w:rsidP="00771052">
            <w:pPr>
              <w:ind w:leftChars="-41" w:left="-9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0</w:t>
            </w:r>
          </w:p>
        </w:tc>
        <w:tc>
          <w:tcPr>
            <w:tcW w:w="706" w:type="dxa"/>
            <w:shd w:val="clear" w:color="auto" w:fill="auto"/>
            <w:vAlign w:val="center"/>
          </w:tcPr>
          <w:p w14:paraId="18F38421" w14:textId="77777777" w:rsidR="00A85A36" w:rsidRPr="00D2796E" w:rsidRDefault="00A85A36" w:rsidP="00771052">
            <w:pPr>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2</w:t>
            </w:r>
          </w:p>
        </w:tc>
        <w:tc>
          <w:tcPr>
            <w:tcW w:w="706" w:type="dxa"/>
            <w:shd w:val="clear" w:color="auto" w:fill="auto"/>
            <w:vAlign w:val="center"/>
          </w:tcPr>
          <w:p w14:paraId="512099FD"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0</w:t>
            </w:r>
          </w:p>
        </w:tc>
        <w:tc>
          <w:tcPr>
            <w:tcW w:w="706" w:type="dxa"/>
            <w:shd w:val="clear" w:color="auto" w:fill="auto"/>
            <w:vAlign w:val="center"/>
          </w:tcPr>
          <w:p w14:paraId="6AC05AFF"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2</w:t>
            </w:r>
          </w:p>
        </w:tc>
      </w:tr>
      <w:tr w:rsidR="00A85A36" w:rsidRPr="00D2796E" w14:paraId="51D540B6" w14:textId="77777777" w:rsidTr="00771052">
        <w:trPr>
          <w:trHeight w:val="20"/>
          <w:jc w:val="center"/>
        </w:trPr>
        <w:tc>
          <w:tcPr>
            <w:tcW w:w="496" w:type="dxa"/>
            <w:shd w:val="clear" w:color="auto" w:fill="auto"/>
            <w:vAlign w:val="center"/>
          </w:tcPr>
          <w:p w14:paraId="0BE06459"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5</w:t>
            </w:r>
          </w:p>
        </w:tc>
        <w:tc>
          <w:tcPr>
            <w:tcW w:w="1964" w:type="dxa"/>
            <w:shd w:val="clear" w:color="auto" w:fill="auto"/>
            <w:vAlign w:val="center"/>
          </w:tcPr>
          <w:p w14:paraId="3A765D82" w14:textId="77777777" w:rsidR="00A85A36" w:rsidRPr="00D2796E" w:rsidRDefault="00A85A36" w:rsidP="00771052">
            <w:pPr>
              <w:pStyle w:val="Default"/>
              <w:snapToGrid w:val="0"/>
              <w:spacing w:line="360" w:lineRule="atLeast"/>
              <w:jc w:val="both"/>
              <w:rPr>
                <w:rFonts w:ascii="Times New Roman" w:eastAsia="標楷體" w:hAnsi="Times New Roman" w:cs="Times New Roman"/>
                <w:color w:val="000000" w:themeColor="text1"/>
                <w:kern w:val="2"/>
                <w:sz w:val="28"/>
                <w:szCs w:val="28"/>
              </w:rPr>
            </w:pPr>
            <w:r w:rsidRPr="00D2796E">
              <w:rPr>
                <w:rFonts w:ascii="Times New Roman" w:eastAsia="標楷體" w:hAnsi="Times New Roman" w:cs="Times New Roman"/>
                <w:color w:val="000000" w:themeColor="text1"/>
                <w:kern w:val="2"/>
                <w:sz w:val="28"/>
                <w:szCs w:val="28"/>
              </w:rPr>
              <w:t>性別統計運用項目數</w:t>
            </w:r>
          </w:p>
        </w:tc>
        <w:tc>
          <w:tcPr>
            <w:tcW w:w="4502" w:type="dxa"/>
            <w:shd w:val="clear" w:color="auto" w:fill="auto"/>
            <w:vAlign w:val="center"/>
          </w:tcPr>
          <w:p w14:paraId="69EE2063" w14:textId="77777777" w:rsidR="00A85A36" w:rsidRPr="00D2796E" w:rsidRDefault="00A85A36" w:rsidP="00771052">
            <w:pPr>
              <w:adjustRightInd w:val="0"/>
              <w:snapToGrid w:val="0"/>
              <w:spacing w:line="320" w:lineRule="exact"/>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本局及所屬機關當年度新增並提出成果之性別統計運用項目數。</w:t>
            </w:r>
          </w:p>
        </w:tc>
        <w:tc>
          <w:tcPr>
            <w:tcW w:w="706" w:type="dxa"/>
            <w:shd w:val="clear" w:color="auto" w:fill="auto"/>
            <w:vAlign w:val="center"/>
          </w:tcPr>
          <w:p w14:paraId="6F5D5FD6" w14:textId="77777777" w:rsidR="00A85A36" w:rsidRPr="00D2796E" w:rsidRDefault="00A85A36" w:rsidP="00771052">
            <w:pPr>
              <w:ind w:leftChars="-41" w:left="-9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2</w:t>
            </w:r>
          </w:p>
        </w:tc>
        <w:tc>
          <w:tcPr>
            <w:tcW w:w="706" w:type="dxa"/>
            <w:shd w:val="clear" w:color="auto" w:fill="auto"/>
            <w:vAlign w:val="center"/>
          </w:tcPr>
          <w:p w14:paraId="6C3287D4" w14:textId="77777777" w:rsidR="00A85A36" w:rsidRPr="00D2796E" w:rsidRDefault="00A85A36" w:rsidP="00771052">
            <w:pPr>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0</w:t>
            </w:r>
          </w:p>
        </w:tc>
        <w:tc>
          <w:tcPr>
            <w:tcW w:w="706" w:type="dxa"/>
            <w:shd w:val="clear" w:color="auto" w:fill="auto"/>
            <w:vAlign w:val="center"/>
          </w:tcPr>
          <w:p w14:paraId="6991D037"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2</w:t>
            </w:r>
          </w:p>
        </w:tc>
        <w:tc>
          <w:tcPr>
            <w:tcW w:w="706" w:type="dxa"/>
            <w:shd w:val="clear" w:color="auto" w:fill="auto"/>
            <w:vAlign w:val="center"/>
          </w:tcPr>
          <w:p w14:paraId="19EDC618"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0</w:t>
            </w:r>
          </w:p>
        </w:tc>
      </w:tr>
      <w:tr w:rsidR="00A85A36" w:rsidRPr="00D2796E" w14:paraId="65CB46AF" w14:textId="77777777" w:rsidTr="00771052">
        <w:trPr>
          <w:trHeight w:val="20"/>
          <w:jc w:val="center"/>
        </w:trPr>
        <w:tc>
          <w:tcPr>
            <w:tcW w:w="496" w:type="dxa"/>
            <w:shd w:val="clear" w:color="auto" w:fill="auto"/>
            <w:vAlign w:val="center"/>
          </w:tcPr>
          <w:p w14:paraId="7D207695" w14:textId="77777777" w:rsidR="00A85A36" w:rsidRPr="00D2796E" w:rsidRDefault="00A85A36" w:rsidP="00771052">
            <w:pPr>
              <w:adjustRightInd w:val="0"/>
              <w:snapToGrid w:val="0"/>
              <w:spacing w:line="40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6</w:t>
            </w:r>
          </w:p>
        </w:tc>
        <w:tc>
          <w:tcPr>
            <w:tcW w:w="1964" w:type="dxa"/>
            <w:shd w:val="clear" w:color="auto" w:fill="auto"/>
            <w:vAlign w:val="center"/>
          </w:tcPr>
          <w:p w14:paraId="6172249E" w14:textId="77777777" w:rsidR="00A85A36" w:rsidRPr="00D2796E" w:rsidRDefault="00A85A36" w:rsidP="00771052">
            <w:pPr>
              <w:pStyle w:val="Default"/>
              <w:snapToGrid w:val="0"/>
              <w:spacing w:line="360" w:lineRule="atLeast"/>
              <w:jc w:val="both"/>
              <w:rPr>
                <w:rFonts w:ascii="Times New Roman" w:eastAsia="標楷體" w:hAnsi="Times New Roman" w:cs="Times New Roman"/>
                <w:color w:val="000000" w:themeColor="text1"/>
                <w:kern w:val="2"/>
                <w:sz w:val="28"/>
                <w:szCs w:val="28"/>
              </w:rPr>
            </w:pPr>
            <w:r w:rsidRPr="00D2796E">
              <w:rPr>
                <w:rFonts w:ascii="Times New Roman" w:eastAsia="標楷體" w:hAnsi="Times New Roman" w:cs="Times New Roman"/>
                <w:color w:val="000000" w:themeColor="text1"/>
                <w:kern w:val="2"/>
                <w:sz w:val="28"/>
                <w:szCs w:val="28"/>
              </w:rPr>
              <w:t>性別統計分析新增篇數</w:t>
            </w:r>
          </w:p>
        </w:tc>
        <w:tc>
          <w:tcPr>
            <w:tcW w:w="4502" w:type="dxa"/>
            <w:shd w:val="clear" w:color="auto" w:fill="auto"/>
            <w:vAlign w:val="center"/>
          </w:tcPr>
          <w:p w14:paraId="72F3B037" w14:textId="77777777" w:rsidR="00A85A36" w:rsidRPr="00D2796E" w:rsidRDefault="00A85A36" w:rsidP="00771052">
            <w:pPr>
              <w:adjustRightInd w:val="0"/>
              <w:snapToGrid w:val="0"/>
              <w:spacing w:line="320" w:lineRule="exact"/>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本局及所屬機關當年度新增並公布於機關網頁之性別統計分析篇數。</w:t>
            </w:r>
          </w:p>
        </w:tc>
        <w:tc>
          <w:tcPr>
            <w:tcW w:w="706" w:type="dxa"/>
            <w:shd w:val="clear" w:color="auto" w:fill="auto"/>
            <w:vAlign w:val="center"/>
          </w:tcPr>
          <w:p w14:paraId="09BC20A0" w14:textId="77777777" w:rsidR="00A85A36" w:rsidRPr="00D2796E" w:rsidRDefault="00A85A36" w:rsidP="00771052">
            <w:pPr>
              <w:ind w:leftChars="-41" w:left="-9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706" w:type="dxa"/>
            <w:shd w:val="clear" w:color="auto" w:fill="auto"/>
            <w:vAlign w:val="center"/>
          </w:tcPr>
          <w:p w14:paraId="113C4A4F" w14:textId="77777777" w:rsidR="00A85A36" w:rsidRPr="00D2796E" w:rsidRDefault="00A85A36" w:rsidP="00771052">
            <w:pPr>
              <w:ind w:leftChars="-47" w:left="-113" w:rightChars="-47" w:right="-113"/>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706" w:type="dxa"/>
            <w:shd w:val="clear" w:color="auto" w:fill="auto"/>
            <w:vAlign w:val="center"/>
          </w:tcPr>
          <w:p w14:paraId="50FB644F"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706" w:type="dxa"/>
            <w:shd w:val="clear" w:color="auto" w:fill="auto"/>
            <w:vAlign w:val="center"/>
          </w:tcPr>
          <w:p w14:paraId="5743F999" w14:textId="77777777" w:rsidR="00A85A36" w:rsidRPr="00D2796E" w:rsidRDefault="00A85A36" w:rsidP="00771052">
            <w:pPr>
              <w:ind w:leftChars="-45" w:left="-108" w:rightChars="-42" w:right="-101"/>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r>
    </w:tbl>
    <w:p w14:paraId="42639B30" w14:textId="77777777" w:rsidR="00A85A36" w:rsidRPr="00D2796E" w:rsidRDefault="00A85A36" w:rsidP="00A85A36">
      <w:pPr>
        <w:pStyle w:val="a3"/>
        <w:numPr>
          <w:ilvl w:val="0"/>
          <w:numId w:val="18"/>
        </w:numPr>
        <w:spacing w:beforeLines="50" w:before="180" w:afterLines="50" w:after="180" w:line="400" w:lineRule="exact"/>
        <w:ind w:leftChars="0" w:left="1134" w:hanging="567"/>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加強性別觀點融入機關業務，強化</w:t>
      </w:r>
      <w:r w:rsidRPr="00D2796E">
        <w:rPr>
          <w:rFonts w:ascii="Times New Roman" w:eastAsia="標楷體" w:hAnsi="Times New Roman" w:cs="Times New Roman"/>
          <w:color w:val="000000" w:themeColor="text1"/>
          <w:sz w:val="28"/>
          <w:szCs w:val="28"/>
        </w:rPr>
        <w:t>CEDAW</w:t>
      </w:r>
      <w:r w:rsidRPr="00D2796E">
        <w:rPr>
          <w:rFonts w:ascii="Times New Roman" w:eastAsia="標楷體" w:hAnsi="Times New Roman" w:cs="Times New Roman"/>
          <w:color w:val="000000" w:themeColor="text1"/>
          <w:sz w:val="28"/>
          <w:szCs w:val="28"/>
        </w:rPr>
        <w:t>及重要性別平等政策或措施之規劃、執行與評估，以達成實質性別平等之目標：</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48"/>
        <w:gridCol w:w="1276"/>
        <w:gridCol w:w="850"/>
        <w:gridCol w:w="851"/>
        <w:gridCol w:w="850"/>
        <w:gridCol w:w="851"/>
      </w:tblGrid>
      <w:tr w:rsidR="00A85A36" w:rsidRPr="00D2796E" w14:paraId="136CFC67" w14:textId="77777777" w:rsidTr="00771052">
        <w:trPr>
          <w:trHeight w:val="207"/>
          <w:jc w:val="center"/>
        </w:trPr>
        <w:tc>
          <w:tcPr>
            <w:tcW w:w="856" w:type="dxa"/>
            <w:vMerge w:val="restart"/>
            <w:shd w:val="clear" w:color="auto" w:fill="auto"/>
            <w:vAlign w:val="center"/>
          </w:tcPr>
          <w:p w14:paraId="024564B2" w14:textId="77777777" w:rsidR="00A85A36" w:rsidRPr="00D2796E" w:rsidRDefault="00A85A36" w:rsidP="00771052">
            <w:pPr>
              <w:spacing w:line="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序號</w:t>
            </w:r>
          </w:p>
        </w:tc>
        <w:tc>
          <w:tcPr>
            <w:tcW w:w="4248" w:type="dxa"/>
            <w:vMerge w:val="restart"/>
            <w:shd w:val="clear" w:color="auto" w:fill="auto"/>
            <w:vAlign w:val="center"/>
          </w:tcPr>
          <w:p w14:paraId="3B34B57D" w14:textId="77777777" w:rsidR="00A85A36" w:rsidRPr="00D2796E" w:rsidRDefault="00A85A36" w:rsidP="00771052">
            <w:pPr>
              <w:spacing w:line="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關鍵績效指標</w:t>
            </w:r>
          </w:p>
        </w:tc>
        <w:tc>
          <w:tcPr>
            <w:tcW w:w="1276" w:type="dxa"/>
            <w:vMerge w:val="restart"/>
            <w:shd w:val="clear" w:color="auto" w:fill="auto"/>
            <w:vAlign w:val="center"/>
          </w:tcPr>
          <w:p w14:paraId="7023586C" w14:textId="77777777" w:rsidR="00A85A36" w:rsidRPr="00D2796E" w:rsidRDefault="00A85A36" w:rsidP="00771052">
            <w:pPr>
              <w:spacing w:line="0" w:lineRule="atLeast"/>
              <w:ind w:leftChars="-44" w:left="-106" w:rightChars="-45" w:right="-108"/>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衡量標準</w:t>
            </w:r>
          </w:p>
        </w:tc>
        <w:tc>
          <w:tcPr>
            <w:tcW w:w="3402" w:type="dxa"/>
            <w:gridSpan w:val="4"/>
            <w:shd w:val="clear" w:color="auto" w:fill="auto"/>
            <w:vAlign w:val="center"/>
          </w:tcPr>
          <w:p w14:paraId="17041A2D" w14:textId="77777777" w:rsidR="00A85A36" w:rsidRPr="00D2796E" w:rsidRDefault="00A85A36" w:rsidP="00771052">
            <w:pPr>
              <w:spacing w:line="0" w:lineRule="atLeas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年度目標值</w:t>
            </w:r>
          </w:p>
        </w:tc>
      </w:tr>
      <w:tr w:rsidR="00A85A36" w:rsidRPr="00D2796E" w14:paraId="5AB13576" w14:textId="77777777" w:rsidTr="00771052">
        <w:trPr>
          <w:trHeight w:val="512"/>
          <w:jc w:val="center"/>
        </w:trPr>
        <w:tc>
          <w:tcPr>
            <w:tcW w:w="856" w:type="dxa"/>
            <w:vMerge/>
            <w:shd w:val="clear" w:color="auto" w:fill="auto"/>
            <w:vAlign w:val="center"/>
          </w:tcPr>
          <w:p w14:paraId="571BBCE7" w14:textId="77777777" w:rsidR="00A85A36" w:rsidRPr="00D2796E" w:rsidRDefault="00A85A36" w:rsidP="00771052">
            <w:pPr>
              <w:spacing w:line="0" w:lineRule="atLeast"/>
              <w:jc w:val="center"/>
              <w:rPr>
                <w:rFonts w:ascii="Times New Roman" w:eastAsia="標楷體" w:hAnsi="Times New Roman" w:cs="Times New Roman"/>
                <w:color w:val="000000" w:themeColor="text1"/>
                <w:sz w:val="28"/>
                <w:szCs w:val="28"/>
              </w:rPr>
            </w:pPr>
          </w:p>
        </w:tc>
        <w:tc>
          <w:tcPr>
            <w:tcW w:w="4248" w:type="dxa"/>
            <w:vMerge/>
            <w:shd w:val="clear" w:color="auto" w:fill="auto"/>
            <w:vAlign w:val="center"/>
          </w:tcPr>
          <w:p w14:paraId="5E2AE0AE" w14:textId="77777777" w:rsidR="00A85A36" w:rsidRPr="00D2796E" w:rsidRDefault="00A85A36" w:rsidP="00771052">
            <w:pPr>
              <w:spacing w:line="0" w:lineRule="atLeast"/>
              <w:jc w:val="center"/>
              <w:rPr>
                <w:rFonts w:ascii="Times New Roman" w:eastAsia="標楷體" w:hAnsi="Times New Roman" w:cs="Times New Roman"/>
                <w:color w:val="000000" w:themeColor="text1"/>
                <w:sz w:val="28"/>
                <w:szCs w:val="28"/>
              </w:rPr>
            </w:pPr>
          </w:p>
        </w:tc>
        <w:tc>
          <w:tcPr>
            <w:tcW w:w="1276" w:type="dxa"/>
            <w:vMerge/>
            <w:shd w:val="clear" w:color="auto" w:fill="auto"/>
            <w:vAlign w:val="center"/>
          </w:tcPr>
          <w:p w14:paraId="2DFA493B" w14:textId="77777777" w:rsidR="00A85A36" w:rsidRPr="00D2796E" w:rsidRDefault="00A85A36" w:rsidP="00771052">
            <w:pPr>
              <w:spacing w:line="0" w:lineRule="atLeast"/>
              <w:ind w:leftChars="-44" w:left="-106" w:rightChars="-45" w:right="-108"/>
              <w:jc w:val="center"/>
              <w:rPr>
                <w:rFonts w:ascii="Times New Roman" w:eastAsia="標楷體" w:hAnsi="Times New Roman" w:cs="Times New Roman"/>
                <w:color w:val="000000" w:themeColor="text1"/>
                <w:sz w:val="28"/>
                <w:szCs w:val="28"/>
              </w:rPr>
            </w:pPr>
          </w:p>
        </w:tc>
        <w:tc>
          <w:tcPr>
            <w:tcW w:w="850" w:type="dxa"/>
            <w:shd w:val="clear" w:color="auto" w:fill="auto"/>
            <w:vAlign w:val="center"/>
          </w:tcPr>
          <w:p w14:paraId="75D823FD" w14:textId="77777777" w:rsidR="00A85A36" w:rsidRPr="00D2796E" w:rsidRDefault="00A85A36" w:rsidP="00771052">
            <w:pPr>
              <w:spacing w:line="0" w:lineRule="atLeast"/>
              <w:ind w:leftChars="-47" w:left="-113" w:rightChars="-61" w:right="-146"/>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112</w:t>
            </w:r>
            <w:r w:rsidRPr="00D2796E">
              <w:rPr>
                <w:rFonts w:ascii="Times New Roman" w:eastAsia="標楷體" w:hAnsi="Times New Roman" w:cs="Times New Roman"/>
                <w:color w:val="000000" w:themeColor="text1"/>
                <w:sz w:val="28"/>
                <w:szCs w:val="28"/>
              </w:rPr>
              <w:t>年</w:t>
            </w:r>
          </w:p>
        </w:tc>
        <w:tc>
          <w:tcPr>
            <w:tcW w:w="851" w:type="dxa"/>
            <w:shd w:val="clear" w:color="auto" w:fill="auto"/>
            <w:vAlign w:val="center"/>
          </w:tcPr>
          <w:p w14:paraId="7FE98CA7" w14:textId="77777777" w:rsidR="00A85A36" w:rsidRPr="00D2796E" w:rsidRDefault="00A85A36" w:rsidP="00771052">
            <w:pPr>
              <w:spacing w:line="0" w:lineRule="atLeast"/>
              <w:ind w:leftChars="-25" w:left="-60" w:rightChars="-53" w:right="-127"/>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113</w:t>
            </w:r>
            <w:r w:rsidRPr="00D2796E">
              <w:rPr>
                <w:rFonts w:ascii="Times New Roman" w:eastAsia="標楷體" w:hAnsi="Times New Roman" w:cs="Times New Roman"/>
                <w:color w:val="000000" w:themeColor="text1"/>
                <w:sz w:val="28"/>
                <w:szCs w:val="28"/>
              </w:rPr>
              <w:t>年</w:t>
            </w:r>
          </w:p>
        </w:tc>
        <w:tc>
          <w:tcPr>
            <w:tcW w:w="850" w:type="dxa"/>
            <w:shd w:val="clear" w:color="auto" w:fill="auto"/>
            <w:vAlign w:val="center"/>
          </w:tcPr>
          <w:p w14:paraId="3DC5EAAA" w14:textId="77777777" w:rsidR="00A85A36" w:rsidRPr="00D2796E" w:rsidRDefault="00A85A36" w:rsidP="00771052">
            <w:pPr>
              <w:spacing w:line="0" w:lineRule="atLeast"/>
              <w:ind w:leftChars="-45" w:left="-10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114</w:t>
            </w:r>
            <w:r w:rsidRPr="00D2796E">
              <w:rPr>
                <w:rFonts w:ascii="Times New Roman" w:eastAsia="標楷體" w:hAnsi="Times New Roman" w:cs="Times New Roman"/>
                <w:color w:val="000000" w:themeColor="text1"/>
                <w:sz w:val="28"/>
                <w:szCs w:val="28"/>
              </w:rPr>
              <w:t>年</w:t>
            </w:r>
          </w:p>
        </w:tc>
        <w:tc>
          <w:tcPr>
            <w:tcW w:w="851" w:type="dxa"/>
            <w:shd w:val="clear" w:color="auto" w:fill="auto"/>
            <w:vAlign w:val="center"/>
          </w:tcPr>
          <w:p w14:paraId="6CC8494E" w14:textId="77777777" w:rsidR="00A85A36" w:rsidRPr="00D2796E" w:rsidRDefault="00A85A36" w:rsidP="00771052">
            <w:pPr>
              <w:spacing w:line="0" w:lineRule="atLeast"/>
              <w:ind w:leftChars="-47" w:left="-113" w:rightChars="-55" w:right="-132"/>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115</w:t>
            </w:r>
            <w:r w:rsidRPr="00D2796E">
              <w:rPr>
                <w:rFonts w:ascii="Times New Roman" w:eastAsia="標楷體" w:hAnsi="Times New Roman" w:cs="Times New Roman"/>
                <w:color w:val="000000" w:themeColor="text1"/>
                <w:sz w:val="28"/>
                <w:szCs w:val="28"/>
              </w:rPr>
              <w:t>年</w:t>
            </w:r>
          </w:p>
        </w:tc>
      </w:tr>
      <w:tr w:rsidR="00A85A36" w:rsidRPr="00D2796E" w14:paraId="56354EFD" w14:textId="77777777" w:rsidTr="00771052">
        <w:trPr>
          <w:trHeight w:val="737"/>
          <w:jc w:val="center"/>
        </w:trPr>
        <w:tc>
          <w:tcPr>
            <w:tcW w:w="856" w:type="dxa"/>
            <w:shd w:val="clear" w:color="auto" w:fill="auto"/>
            <w:vAlign w:val="center"/>
          </w:tcPr>
          <w:p w14:paraId="5B5CE115" w14:textId="77777777" w:rsidR="00A85A36" w:rsidRPr="00D2796E" w:rsidRDefault="00A85A36" w:rsidP="00771052">
            <w:pPr>
              <w:spacing w:line="360" w:lineRule="exac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4248" w:type="dxa"/>
            <w:shd w:val="clear" w:color="auto" w:fill="auto"/>
            <w:vAlign w:val="center"/>
          </w:tcPr>
          <w:p w14:paraId="1533CE14" w14:textId="77777777" w:rsidR="00A85A36" w:rsidRPr="00D2796E" w:rsidRDefault="00A85A36" w:rsidP="00771052">
            <w:pPr>
              <w:spacing w:line="360" w:lineRule="exact"/>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性別平等具體行動措施</w:t>
            </w:r>
          </w:p>
        </w:tc>
        <w:tc>
          <w:tcPr>
            <w:tcW w:w="1276" w:type="dxa"/>
            <w:shd w:val="clear" w:color="auto" w:fill="auto"/>
            <w:vAlign w:val="center"/>
          </w:tcPr>
          <w:p w14:paraId="7F759ADF" w14:textId="77777777" w:rsidR="00A85A36" w:rsidRPr="00D2796E" w:rsidRDefault="00A85A36" w:rsidP="00771052">
            <w:pPr>
              <w:spacing w:line="360" w:lineRule="exact"/>
              <w:ind w:leftChars="-44" w:left="-106" w:rightChars="-45" w:right="-108"/>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訂定</w:t>
            </w:r>
          </w:p>
          <w:p w14:paraId="5DC35366" w14:textId="77777777" w:rsidR="00A85A36" w:rsidRPr="00D2796E" w:rsidRDefault="00A85A36" w:rsidP="00771052">
            <w:pPr>
              <w:spacing w:line="360" w:lineRule="exact"/>
              <w:ind w:leftChars="-44" w:left="-106" w:rightChars="-45" w:right="-108"/>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計畫數</w:t>
            </w:r>
          </w:p>
        </w:tc>
        <w:tc>
          <w:tcPr>
            <w:tcW w:w="850" w:type="dxa"/>
            <w:shd w:val="clear" w:color="auto" w:fill="auto"/>
            <w:vAlign w:val="center"/>
          </w:tcPr>
          <w:p w14:paraId="29634998" w14:textId="77777777" w:rsidR="00A85A36" w:rsidRPr="00D2796E" w:rsidRDefault="00A85A36" w:rsidP="00771052">
            <w:pPr>
              <w:spacing w:line="360" w:lineRule="exact"/>
              <w:ind w:leftChars="-47" w:left="-113" w:rightChars="-61" w:right="-146"/>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851" w:type="dxa"/>
            <w:shd w:val="clear" w:color="auto" w:fill="auto"/>
            <w:vAlign w:val="center"/>
          </w:tcPr>
          <w:p w14:paraId="610B2861" w14:textId="77777777" w:rsidR="00A85A36" w:rsidRPr="00D2796E" w:rsidRDefault="00A85A36" w:rsidP="00771052">
            <w:pPr>
              <w:tabs>
                <w:tab w:val="left" w:pos="481"/>
              </w:tabs>
              <w:spacing w:line="360" w:lineRule="exact"/>
              <w:ind w:leftChars="-49" w:left="-118" w:rightChars="-53" w:right="-127"/>
              <w:jc w:val="center"/>
              <w:rPr>
                <w:rFonts w:ascii="Times New Roman" w:eastAsia="標楷體" w:hAnsi="Times New Roman" w:cs="Times New Roman"/>
                <w:color w:val="000000" w:themeColor="text1"/>
                <w:sz w:val="26"/>
                <w:szCs w:val="26"/>
              </w:rPr>
            </w:pPr>
            <w:proofErr w:type="gramStart"/>
            <w:r w:rsidRPr="00D2796E">
              <w:rPr>
                <w:rFonts w:ascii="Times New Roman" w:eastAsia="標楷體" w:hAnsi="Times New Roman" w:cs="Times New Roman"/>
                <w:color w:val="000000" w:themeColor="text1"/>
                <w:sz w:val="26"/>
                <w:szCs w:val="26"/>
              </w:rPr>
              <w:t>研</w:t>
            </w:r>
            <w:proofErr w:type="gramEnd"/>
            <w:r w:rsidRPr="00D2796E">
              <w:rPr>
                <w:rFonts w:ascii="Times New Roman" w:eastAsia="標楷體" w:hAnsi="Times New Roman" w:cs="Times New Roman"/>
                <w:color w:val="000000" w:themeColor="text1"/>
                <w:sz w:val="26"/>
                <w:szCs w:val="26"/>
              </w:rPr>
              <w:t>擬</w:t>
            </w:r>
          </w:p>
          <w:p w14:paraId="0418FB1E" w14:textId="77777777" w:rsidR="00A85A36" w:rsidRPr="00D2796E" w:rsidRDefault="00A85A36" w:rsidP="00771052">
            <w:pPr>
              <w:spacing w:line="360" w:lineRule="exact"/>
              <w:ind w:leftChars="-49" w:left="-118" w:rightChars="-53" w:right="-127"/>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6"/>
                <w:szCs w:val="26"/>
              </w:rPr>
              <w:t>計畫</w:t>
            </w:r>
          </w:p>
        </w:tc>
        <w:tc>
          <w:tcPr>
            <w:tcW w:w="850" w:type="dxa"/>
            <w:shd w:val="clear" w:color="auto" w:fill="auto"/>
            <w:vAlign w:val="center"/>
          </w:tcPr>
          <w:p w14:paraId="4D665443" w14:textId="77777777" w:rsidR="00A85A36" w:rsidRPr="00D2796E" w:rsidRDefault="00A85A36" w:rsidP="00771052">
            <w:pPr>
              <w:spacing w:line="360" w:lineRule="exact"/>
              <w:ind w:leftChars="-45" w:left="-10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851" w:type="dxa"/>
            <w:shd w:val="clear" w:color="auto" w:fill="auto"/>
            <w:vAlign w:val="center"/>
          </w:tcPr>
          <w:p w14:paraId="69BB682D" w14:textId="77777777" w:rsidR="00A85A36" w:rsidRPr="00D2796E" w:rsidRDefault="00A85A36" w:rsidP="00771052">
            <w:pPr>
              <w:tabs>
                <w:tab w:val="left" w:pos="481"/>
              </w:tabs>
              <w:spacing w:line="360" w:lineRule="exact"/>
              <w:ind w:leftChars="-49" w:left="-118" w:rightChars="-53" w:right="-127"/>
              <w:jc w:val="center"/>
              <w:rPr>
                <w:rFonts w:ascii="Times New Roman" w:eastAsia="標楷體" w:hAnsi="Times New Roman" w:cs="Times New Roman"/>
                <w:color w:val="000000" w:themeColor="text1"/>
                <w:sz w:val="26"/>
                <w:szCs w:val="26"/>
              </w:rPr>
            </w:pPr>
            <w:proofErr w:type="gramStart"/>
            <w:r w:rsidRPr="00D2796E">
              <w:rPr>
                <w:rFonts w:ascii="Times New Roman" w:eastAsia="標楷體" w:hAnsi="Times New Roman" w:cs="Times New Roman"/>
                <w:color w:val="000000" w:themeColor="text1"/>
                <w:sz w:val="26"/>
                <w:szCs w:val="26"/>
              </w:rPr>
              <w:t>研</w:t>
            </w:r>
            <w:proofErr w:type="gramEnd"/>
            <w:r w:rsidRPr="00D2796E">
              <w:rPr>
                <w:rFonts w:ascii="Times New Roman" w:eastAsia="標楷體" w:hAnsi="Times New Roman" w:cs="Times New Roman"/>
                <w:color w:val="000000" w:themeColor="text1"/>
                <w:sz w:val="26"/>
                <w:szCs w:val="26"/>
              </w:rPr>
              <w:t>擬</w:t>
            </w:r>
          </w:p>
          <w:p w14:paraId="55987E62" w14:textId="77777777" w:rsidR="00A85A36" w:rsidRPr="00D2796E" w:rsidRDefault="00A85A36" w:rsidP="00771052">
            <w:pPr>
              <w:spacing w:line="360" w:lineRule="exact"/>
              <w:ind w:leftChars="-47" w:left="-113" w:rightChars="-55" w:right="-132"/>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6"/>
                <w:szCs w:val="26"/>
              </w:rPr>
              <w:t>計畫</w:t>
            </w:r>
          </w:p>
        </w:tc>
      </w:tr>
      <w:tr w:rsidR="00A85A36" w:rsidRPr="00D2796E" w14:paraId="18C4A3AC" w14:textId="77777777" w:rsidTr="00771052">
        <w:trPr>
          <w:trHeight w:val="737"/>
          <w:jc w:val="center"/>
        </w:trPr>
        <w:tc>
          <w:tcPr>
            <w:tcW w:w="856" w:type="dxa"/>
            <w:shd w:val="clear" w:color="auto" w:fill="auto"/>
            <w:vAlign w:val="center"/>
          </w:tcPr>
          <w:p w14:paraId="5624347F" w14:textId="77777777" w:rsidR="00A85A36" w:rsidRPr="00D2796E" w:rsidRDefault="00A85A36" w:rsidP="00771052">
            <w:pPr>
              <w:spacing w:line="360" w:lineRule="exac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lastRenderedPageBreak/>
              <w:t>2</w:t>
            </w:r>
          </w:p>
        </w:tc>
        <w:tc>
          <w:tcPr>
            <w:tcW w:w="4248" w:type="dxa"/>
            <w:shd w:val="clear" w:color="auto" w:fill="auto"/>
            <w:vAlign w:val="center"/>
          </w:tcPr>
          <w:p w14:paraId="45FEDE41" w14:textId="77777777" w:rsidR="00A85A36" w:rsidRPr="00D2796E" w:rsidRDefault="00A85A36" w:rsidP="00771052">
            <w:pPr>
              <w:spacing w:line="360" w:lineRule="exact"/>
              <w:jc w:val="both"/>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與民間組織</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企業</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鄰里社區合作方案</w:t>
            </w:r>
          </w:p>
        </w:tc>
        <w:tc>
          <w:tcPr>
            <w:tcW w:w="1276" w:type="dxa"/>
            <w:shd w:val="clear" w:color="auto" w:fill="auto"/>
            <w:vAlign w:val="center"/>
          </w:tcPr>
          <w:p w14:paraId="5DA12F97" w14:textId="77777777" w:rsidR="00A85A36" w:rsidRPr="00D2796E" w:rsidRDefault="00A85A36" w:rsidP="00771052">
            <w:pPr>
              <w:spacing w:line="360" w:lineRule="exact"/>
              <w:ind w:leftChars="-44" w:left="-106" w:rightChars="-45" w:right="-108"/>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訂定</w:t>
            </w:r>
          </w:p>
          <w:p w14:paraId="0BAB94BE" w14:textId="77777777" w:rsidR="00A85A36" w:rsidRPr="00D2796E" w:rsidRDefault="00A85A36" w:rsidP="00771052">
            <w:pPr>
              <w:spacing w:line="360" w:lineRule="exact"/>
              <w:ind w:leftChars="-44" w:left="-106" w:rightChars="-45" w:right="-108"/>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計畫數</w:t>
            </w:r>
          </w:p>
        </w:tc>
        <w:tc>
          <w:tcPr>
            <w:tcW w:w="850" w:type="dxa"/>
            <w:shd w:val="clear" w:color="auto" w:fill="auto"/>
            <w:vAlign w:val="center"/>
          </w:tcPr>
          <w:p w14:paraId="5075EB2E" w14:textId="77777777" w:rsidR="00A85A36" w:rsidRPr="00D2796E" w:rsidRDefault="00A85A36" w:rsidP="00771052">
            <w:pPr>
              <w:spacing w:line="360" w:lineRule="exact"/>
              <w:ind w:leftChars="-47" w:left="-113" w:rightChars="-61" w:right="-146"/>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851" w:type="dxa"/>
            <w:shd w:val="clear" w:color="auto" w:fill="auto"/>
            <w:vAlign w:val="center"/>
          </w:tcPr>
          <w:p w14:paraId="56CC195A" w14:textId="77777777" w:rsidR="00A85A36" w:rsidRPr="00D2796E" w:rsidRDefault="00A85A36" w:rsidP="00771052">
            <w:pPr>
              <w:tabs>
                <w:tab w:val="left" w:pos="481"/>
              </w:tabs>
              <w:spacing w:line="360" w:lineRule="exact"/>
              <w:ind w:leftChars="-49" w:left="-118" w:rightChars="-53" w:right="-127"/>
              <w:jc w:val="center"/>
              <w:rPr>
                <w:rFonts w:ascii="Times New Roman" w:eastAsia="標楷體" w:hAnsi="Times New Roman" w:cs="Times New Roman"/>
                <w:color w:val="000000" w:themeColor="text1"/>
                <w:sz w:val="26"/>
                <w:szCs w:val="26"/>
              </w:rPr>
            </w:pPr>
            <w:proofErr w:type="gramStart"/>
            <w:r w:rsidRPr="00D2796E">
              <w:rPr>
                <w:rFonts w:ascii="Times New Roman" w:eastAsia="標楷體" w:hAnsi="Times New Roman" w:cs="Times New Roman"/>
                <w:color w:val="000000" w:themeColor="text1"/>
                <w:sz w:val="26"/>
                <w:szCs w:val="26"/>
              </w:rPr>
              <w:t>研</w:t>
            </w:r>
            <w:proofErr w:type="gramEnd"/>
            <w:r w:rsidRPr="00D2796E">
              <w:rPr>
                <w:rFonts w:ascii="Times New Roman" w:eastAsia="標楷體" w:hAnsi="Times New Roman" w:cs="Times New Roman"/>
                <w:color w:val="000000" w:themeColor="text1"/>
                <w:sz w:val="26"/>
                <w:szCs w:val="26"/>
              </w:rPr>
              <w:t>擬</w:t>
            </w:r>
          </w:p>
          <w:p w14:paraId="6EF58322" w14:textId="77777777" w:rsidR="00A85A36" w:rsidRPr="00D2796E" w:rsidRDefault="00A85A36" w:rsidP="00771052">
            <w:pPr>
              <w:tabs>
                <w:tab w:val="left" w:pos="481"/>
              </w:tabs>
              <w:spacing w:line="360" w:lineRule="exact"/>
              <w:ind w:leftChars="-49" w:left="-118" w:rightChars="-53" w:right="-127"/>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計畫</w:t>
            </w:r>
          </w:p>
        </w:tc>
        <w:tc>
          <w:tcPr>
            <w:tcW w:w="850" w:type="dxa"/>
            <w:shd w:val="clear" w:color="auto" w:fill="auto"/>
            <w:vAlign w:val="center"/>
          </w:tcPr>
          <w:p w14:paraId="5BB4AFB4" w14:textId="77777777" w:rsidR="00A85A36" w:rsidRPr="00D2796E" w:rsidRDefault="00A85A36" w:rsidP="00771052">
            <w:pPr>
              <w:spacing w:line="360" w:lineRule="exact"/>
              <w:ind w:leftChars="-45" w:left="-108" w:rightChars="-46" w:right="-110"/>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1</w:t>
            </w:r>
          </w:p>
        </w:tc>
        <w:tc>
          <w:tcPr>
            <w:tcW w:w="851" w:type="dxa"/>
            <w:shd w:val="clear" w:color="auto" w:fill="auto"/>
            <w:vAlign w:val="center"/>
          </w:tcPr>
          <w:p w14:paraId="3DC56C13" w14:textId="77777777" w:rsidR="00A85A36" w:rsidRPr="00D2796E" w:rsidRDefault="00A85A36" w:rsidP="00771052">
            <w:pPr>
              <w:spacing w:line="360" w:lineRule="exact"/>
              <w:ind w:leftChars="-47" w:left="-113" w:rightChars="-44" w:right="-106"/>
              <w:jc w:val="center"/>
              <w:rPr>
                <w:rFonts w:ascii="Times New Roman" w:eastAsia="標楷體" w:hAnsi="Times New Roman" w:cs="Times New Roman"/>
                <w:color w:val="000000" w:themeColor="text1"/>
                <w:sz w:val="26"/>
                <w:szCs w:val="26"/>
              </w:rPr>
            </w:pPr>
            <w:proofErr w:type="gramStart"/>
            <w:r w:rsidRPr="00D2796E">
              <w:rPr>
                <w:rFonts w:ascii="Times New Roman" w:eastAsia="標楷體" w:hAnsi="Times New Roman" w:cs="Times New Roman"/>
                <w:color w:val="000000" w:themeColor="text1"/>
                <w:sz w:val="26"/>
                <w:szCs w:val="26"/>
              </w:rPr>
              <w:t>研</w:t>
            </w:r>
            <w:proofErr w:type="gramEnd"/>
            <w:r w:rsidRPr="00D2796E">
              <w:rPr>
                <w:rFonts w:ascii="Times New Roman" w:eastAsia="標楷體" w:hAnsi="Times New Roman" w:cs="Times New Roman"/>
                <w:color w:val="000000" w:themeColor="text1"/>
                <w:sz w:val="26"/>
                <w:szCs w:val="26"/>
              </w:rPr>
              <w:t>擬</w:t>
            </w:r>
          </w:p>
          <w:p w14:paraId="59CFED04" w14:textId="77777777" w:rsidR="00A85A36" w:rsidRPr="00D2796E" w:rsidRDefault="00A85A36" w:rsidP="00771052">
            <w:pPr>
              <w:spacing w:line="360" w:lineRule="exact"/>
              <w:ind w:leftChars="-47" w:left="-113" w:rightChars="-44" w:right="-106"/>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計畫</w:t>
            </w:r>
          </w:p>
        </w:tc>
      </w:tr>
      <w:tr w:rsidR="00A85A36" w:rsidRPr="00D2796E" w14:paraId="7DB7162D" w14:textId="77777777" w:rsidTr="00771052">
        <w:trPr>
          <w:trHeight w:val="737"/>
          <w:jc w:val="center"/>
        </w:trPr>
        <w:tc>
          <w:tcPr>
            <w:tcW w:w="856" w:type="dxa"/>
            <w:tcBorders>
              <w:bottom w:val="single" w:sz="4" w:space="0" w:color="auto"/>
            </w:tcBorders>
            <w:shd w:val="clear" w:color="auto" w:fill="auto"/>
            <w:vAlign w:val="center"/>
          </w:tcPr>
          <w:p w14:paraId="4AC7C291" w14:textId="77777777" w:rsidR="00A85A36" w:rsidRPr="00D2796E" w:rsidRDefault="00A85A36" w:rsidP="00771052">
            <w:pPr>
              <w:spacing w:line="360" w:lineRule="exact"/>
              <w:jc w:val="center"/>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3</w:t>
            </w:r>
          </w:p>
        </w:tc>
        <w:tc>
          <w:tcPr>
            <w:tcW w:w="4248" w:type="dxa"/>
            <w:tcBorders>
              <w:bottom w:val="single" w:sz="4" w:space="0" w:color="auto"/>
            </w:tcBorders>
            <w:shd w:val="clear" w:color="auto" w:fill="auto"/>
            <w:vAlign w:val="center"/>
          </w:tcPr>
          <w:p w14:paraId="6C8020A5" w14:textId="77777777" w:rsidR="00A85A36" w:rsidRPr="00D2796E" w:rsidRDefault="00A85A36" w:rsidP="00771052">
            <w:pPr>
              <w:spacing w:line="360" w:lineRule="exact"/>
              <w:rPr>
                <w:rFonts w:ascii="Times New Roman" w:eastAsia="標楷體" w:hAnsi="Times New Roman" w:cs="Times New Roman"/>
                <w:color w:val="000000" w:themeColor="text1"/>
                <w:sz w:val="28"/>
                <w:szCs w:val="28"/>
              </w:rPr>
            </w:pPr>
            <w:r w:rsidRPr="00D2796E">
              <w:rPr>
                <w:rFonts w:ascii="Times New Roman" w:eastAsia="標楷體" w:hAnsi="Times New Roman" w:cs="Times New Roman"/>
                <w:color w:val="000000" w:themeColor="text1"/>
                <w:sz w:val="28"/>
                <w:szCs w:val="28"/>
              </w:rPr>
              <w:t>自製</w:t>
            </w:r>
            <w:r w:rsidRPr="00D2796E">
              <w:rPr>
                <w:rFonts w:ascii="Times New Roman" w:eastAsia="標楷體" w:hAnsi="Times New Roman" w:cs="Times New Roman"/>
                <w:color w:val="000000" w:themeColor="text1"/>
                <w:sz w:val="28"/>
                <w:szCs w:val="28"/>
              </w:rPr>
              <w:t>CEDAW</w:t>
            </w:r>
            <w:r w:rsidRPr="00D2796E">
              <w:rPr>
                <w:rFonts w:ascii="Times New Roman" w:eastAsia="標楷體" w:hAnsi="Times New Roman" w:cs="Times New Roman"/>
                <w:color w:val="000000" w:themeColor="text1"/>
                <w:sz w:val="28"/>
                <w:szCs w:val="28"/>
              </w:rPr>
              <w:t>教材案例</w:t>
            </w:r>
            <w:r w:rsidRPr="00D2796E">
              <w:rPr>
                <w:rFonts w:ascii="Times New Roman" w:eastAsia="標楷體" w:hAnsi="Times New Roman" w:cs="Times New Roman"/>
                <w:color w:val="000000" w:themeColor="text1"/>
                <w:sz w:val="28"/>
                <w:szCs w:val="28"/>
              </w:rPr>
              <w:t>(</w:t>
            </w:r>
            <w:proofErr w:type="gramStart"/>
            <w:r w:rsidRPr="00D2796E">
              <w:rPr>
                <w:rFonts w:ascii="Times New Roman" w:eastAsia="標楷體" w:hAnsi="Times New Roman" w:cs="Times New Roman"/>
                <w:color w:val="000000" w:themeColor="text1"/>
                <w:sz w:val="28"/>
                <w:szCs w:val="28"/>
              </w:rPr>
              <w:t>註</w:t>
            </w:r>
            <w:proofErr w:type="gramEnd"/>
            <w:r w:rsidRPr="00D2796E">
              <w:rPr>
                <w:rFonts w:ascii="Times New Roman" w:eastAsia="標楷體" w:hAnsi="Times New Roman" w:cs="Times New Roman" w:hint="eastAsia"/>
                <w:color w:val="000000" w:themeColor="text1"/>
                <w:sz w:val="28"/>
                <w:szCs w:val="28"/>
              </w:rPr>
              <w:t>6</w:t>
            </w:r>
            <w:r w:rsidRPr="00D2796E">
              <w:rPr>
                <w:rFonts w:ascii="Times New Roman" w:eastAsia="標楷體" w:hAnsi="Times New Roman" w:cs="Times New Roman"/>
                <w:color w:val="000000" w:themeColor="text1"/>
                <w:sz w:val="28"/>
                <w:szCs w:val="28"/>
              </w:rPr>
              <w:t>)</w:t>
            </w:r>
          </w:p>
        </w:tc>
        <w:tc>
          <w:tcPr>
            <w:tcW w:w="1276" w:type="dxa"/>
            <w:tcBorders>
              <w:bottom w:val="single" w:sz="4" w:space="0" w:color="auto"/>
            </w:tcBorders>
            <w:shd w:val="clear" w:color="auto" w:fill="auto"/>
            <w:vAlign w:val="center"/>
          </w:tcPr>
          <w:p w14:paraId="0A715055" w14:textId="77777777" w:rsidR="00A85A36" w:rsidRPr="00D2796E" w:rsidRDefault="00A85A36" w:rsidP="00771052">
            <w:pPr>
              <w:spacing w:line="360" w:lineRule="exact"/>
              <w:ind w:leftChars="-44" w:left="-106" w:rightChars="-45" w:right="-108"/>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發展</w:t>
            </w:r>
          </w:p>
          <w:p w14:paraId="3823800E" w14:textId="77777777" w:rsidR="00A85A36" w:rsidRPr="00D2796E" w:rsidRDefault="00A85A36" w:rsidP="00771052">
            <w:pPr>
              <w:spacing w:line="360" w:lineRule="exact"/>
              <w:ind w:leftChars="-44" w:left="-106" w:rightChars="-45" w:right="-108"/>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教材數</w:t>
            </w:r>
          </w:p>
        </w:tc>
        <w:tc>
          <w:tcPr>
            <w:tcW w:w="850" w:type="dxa"/>
            <w:tcBorders>
              <w:bottom w:val="single" w:sz="4" w:space="0" w:color="auto"/>
            </w:tcBorders>
            <w:shd w:val="clear" w:color="auto" w:fill="auto"/>
            <w:vAlign w:val="center"/>
          </w:tcPr>
          <w:p w14:paraId="44F4753F" w14:textId="77777777" w:rsidR="00A85A36" w:rsidRPr="00D2796E" w:rsidRDefault="00A85A36" w:rsidP="00771052">
            <w:pPr>
              <w:spacing w:line="360" w:lineRule="exact"/>
              <w:ind w:leftChars="-47" w:left="-113" w:rightChars="-44" w:right="-106"/>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案例</w:t>
            </w:r>
          </w:p>
          <w:p w14:paraId="7142DBC2" w14:textId="77777777" w:rsidR="00A85A36" w:rsidRPr="00D2796E" w:rsidRDefault="00A85A36" w:rsidP="00771052">
            <w:pPr>
              <w:spacing w:line="360" w:lineRule="exact"/>
              <w:ind w:leftChars="-47" w:left="-113" w:rightChars="-61" w:right="-146"/>
              <w:jc w:val="center"/>
              <w:rPr>
                <w:rFonts w:ascii="Times New Roman" w:eastAsia="標楷體" w:hAnsi="Times New Roman" w:cs="Times New Roman"/>
                <w:color w:val="000000" w:themeColor="text1"/>
                <w:sz w:val="28"/>
                <w:szCs w:val="28"/>
              </w:rPr>
            </w:pPr>
            <w:proofErr w:type="gramStart"/>
            <w:r w:rsidRPr="00D2796E">
              <w:rPr>
                <w:rFonts w:ascii="Times New Roman" w:eastAsia="標楷體" w:hAnsi="Times New Roman" w:cs="Times New Roman"/>
                <w:color w:val="000000" w:themeColor="text1"/>
                <w:sz w:val="26"/>
                <w:szCs w:val="26"/>
              </w:rPr>
              <w:t>研</w:t>
            </w:r>
            <w:proofErr w:type="gramEnd"/>
            <w:r w:rsidRPr="00D2796E">
              <w:rPr>
                <w:rFonts w:ascii="Times New Roman" w:eastAsia="標楷體" w:hAnsi="Times New Roman" w:cs="Times New Roman"/>
                <w:color w:val="000000" w:themeColor="text1"/>
                <w:sz w:val="26"/>
                <w:szCs w:val="26"/>
              </w:rPr>
              <w:t>擬</w:t>
            </w:r>
          </w:p>
        </w:tc>
        <w:tc>
          <w:tcPr>
            <w:tcW w:w="851" w:type="dxa"/>
            <w:tcBorders>
              <w:bottom w:val="single" w:sz="4" w:space="0" w:color="auto"/>
            </w:tcBorders>
            <w:shd w:val="clear" w:color="auto" w:fill="auto"/>
            <w:vAlign w:val="center"/>
          </w:tcPr>
          <w:p w14:paraId="2CF59491" w14:textId="77777777" w:rsidR="00A85A36" w:rsidRPr="00D2796E" w:rsidRDefault="00A85A36" w:rsidP="00771052">
            <w:pPr>
              <w:tabs>
                <w:tab w:val="left" w:pos="481"/>
              </w:tabs>
              <w:spacing w:line="360" w:lineRule="exact"/>
              <w:ind w:leftChars="-49" w:left="-118" w:rightChars="-53" w:right="-127"/>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8"/>
                <w:szCs w:val="28"/>
              </w:rPr>
              <w:t>1</w:t>
            </w:r>
          </w:p>
        </w:tc>
        <w:tc>
          <w:tcPr>
            <w:tcW w:w="850" w:type="dxa"/>
            <w:tcBorders>
              <w:bottom w:val="single" w:sz="4" w:space="0" w:color="auto"/>
            </w:tcBorders>
            <w:shd w:val="clear" w:color="auto" w:fill="auto"/>
            <w:vAlign w:val="center"/>
          </w:tcPr>
          <w:p w14:paraId="64515883" w14:textId="77777777" w:rsidR="00A85A36" w:rsidRPr="00D2796E" w:rsidRDefault="00A85A36" w:rsidP="00771052">
            <w:pPr>
              <w:spacing w:line="360" w:lineRule="exact"/>
              <w:ind w:leftChars="-69" w:left="-166" w:rightChars="-46" w:right="-110"/>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6"/>
                <w:szCs w:val="26"/>
              </w:rPr>
              <w:t>案例</w:t>
            </w:r>
          </w:p>
          <w:p w14:paraId="1FBD91A1" w14:textId="77777777" w:rsidR="00A85A36" w:rsidRPr="00D2796E" w:rsidRDefault="00A85A36" w:rsidP="00771052">
            <w:pPr>
              <w:spacing w:line="360" w:lineRule="exact"/>
              <w:ind w:leftChars="-45" w:left="-108" w:rightChars="-46" w:right="-110"/>
              <w:jc w:val="center"/>
              <w:rPr>
                <w:rFonts w:ascii="Times New Roman" w:eastAsia="標楷體" w:hAnsi="Times New Roman" w:cs="Times New Roman"/>
                <w:color w:val="000000" w:themeColor="text1"/>
                <w:sz w:val="28"/>
                <w:szCs w:val="28"/>
              </w:rPr>
            </w:pPr>
            <w:proofErr w:type="gramStart"/>
            <w:r w:rsidRPr="00D2796E">
              <w:rPr>
                <w:rFonts w:ascii="Times New Roman" w:eastAsia="標楷體" w:hAnsi="Times New Roman" w:cs="Times New Roman"/>
                <w:color w:val="000000" w:themeColor="text1"/>
                <w:sz w:val="26"/>
                <w:szCs w:val="26"/>
              </w:rPr>
              <w:t>研</w:t>
            </w:r>
            <w:proofErr w:type="gramEnd"/>
            <w:r w:rsidRPr="00D2796E">
              <w:rPr>
                <w:rFonts w:ascii="Times New Roman" w:eastAsia="標楷體" w:hAnsi="Times New Roman" w:cs="Times New Roman"/>
                <w:color w:val="000000" w:themeColor="text1"/>
                <w:sz w:val="26"/>
                <w:szCs w:val="26"/>
              </w:rPr>
              <w:t>擬</w:t>
            </w:r>
          </w:p>
        </w:tc>
        <w:tc>
          <w:tcPr>
            <w:tcW w:w="851" w:type="dxa"/>
            <w:tcBorders>
              <w:bottom w:val="single" w:sz="4" w:space="0" w:color="auto"/>
            </w:tcBorders>
            <w:shd w:val="clear" w:color="auto" w:fill="auto"/>
            <w:vAlign w:val="center"/>
          </w:tcPr>
          <w:p w14:paraId="46888084" w14:textId="77777777" w:rsidR="00A85A36" w:rsidRPr="00D2796E" w:rsidRDefault="00A85A36" w:rsidP="00771052">
            <w:pPr>
              <w:spacing w:line="360" w:lineRule="exact"/>
              <w:ind w:leftChars="-47" w:left="-113" w:rightChars="-44" w:right="-106"/>
              <w:jc w:val="center"/>
              <w:rPr>
                <w:rFonts w:ascii="Times New Roman" w:eastAsia="標楷體" w:hAnsi="Times New Roman" w:cs="Times New Roman"/>
                <w:color w:val="000000" w:themeColor="text1"/>
                <w:sz w:val="26"/>
                <w:szCs w:val="26"/>
              </w:rPr>
            </w:pPr>
            <w:r w:rsidRPr="00D2796E">
              <w:rPr>
                <w:rFonts w:ascii="Times New Roman" w:eastAsia="標楷體" w:hAnsi="Times New Roman" w:cs="Times New Roman"/>
                <w:color w:val="000000" w:themeColor="text1"/>
                <w:sz w:val="28"/>
                <w:szCs w:val="28"/>
              </w:rPr>
              <w:t>1</w:t>
            </w:r>
          </w:p>
        </w:tc>
      </w:tr>
    </w:tbl>
    <w:p w14:paraId="73DAAE76" w14:textId="77777777" w:rsidR="00A85A36" w:rsidRPr="00D2796E" w:rsidRDefault="00A85A36" w:rsidP="00A85A36">
      <w:pPr>
        <w:pStyle w:val="a3"/>
        <w:numPr>
          <w:ilvl w:val="0"/>
          <w:numId w:val="3"/>
        </w:numPr>
        <w:spacing w:beforeLines="50" w:before="180" w:afterLines="50" w:after="180" w:line="400" w:lineRule="exact"/>
        <w:ind w:leftChars="0" w:left="630" w:hanging="556"/>
        <w:jc w:val="both"/>
        <w:rPr>
          <w:rFonts w:ascii="Times New Roman" w:eastAsia="標楷體" w:hAnsi="Times New Roman" w:cs="Times New Roman"/>
          <w:color w:val="000000" w:themeColor="text1"/>
          <w:sz w:val="28"/>
          <w:szCs w:val="28"/>
        </w:rPr>
      </w:pPr>
      <w:bookmarkStart w:id="3" w:name="_Hlk535928515"/>
      <w:r w:rsidRPr="00D2796E">
        <w:rPr>
          <w:rFonts w:ascii="Times New Roman" w:eastAsia="標楷體" w:hAnsi="Times New Roman" w:cs="Times New Roman" w:hint="eastAsia"/>
          <w:b/>
          <w:color w:val="000000" w:themeColor="text1"/>
          <w:sz w:val="28"/>
          <w:szCs w:val="28"/>
        </w:rPr>
        <w:t>本計畫經性別平等專責小組通過後提至性別主流化推動組審查；執行期間滾動修正，由統籌規劃及管考單位</w:t>
      </w:r>
      <w:proofErr w:type="gramStart"/>
      <w:r w:rsidRPr="00D2796E">
        <w:rPr>
          <w:rFonts w:ascii="Times New Roman" w:eastAsia="標楷體" w:hAnsi="Times New Roman" w:cs="Times New Roman" w:hint="eastAsia"/>
          <w:b/>
          <w:color w:val="000000" w:themeColor="text1"/>
          <w:sz w:val="28"/>
          <w:szCs w:val="28"/>
        </w:rPr>
        <w:t>研</w:t>
      </w:r>
      <w:proofErr w:type="gramEnd"/>
      <w:r w:rsidRPr="00D2796E">
        <w:rPr>
          <w:rFonts w:ascii="Times New Roman" w:eastAsia="標楷體" w:hAnsi="Times New Roman" w:cs="Times New Roman" w:hint="eastAsia"/>
          <w:b/>
          <w:color w:val="000000" w:themeColor="text1"/>
          <w:sz w:val="28"/>
          <w:szCs w:val="28"/>
        </w:rPr>
        <w:t>擬，提至性別平等專責小組通過後，送性別主流化推動組審查，再提報最近一次性平會備查。</w:t>
      </w:r>
    </w:p>
    <w:p w14:paraId="2763D749" w14:textId="77777777" w:rsidR="00A85A36" w:rsidRPr="00D2796E" w:rsidRDefault="00A85A36" w:rsidP="00A85A36">
      <w:pPr>
        <w:pStyle w:val="a3"/>
        <w:numPr>
          <w:ilvl w:val="0"/>
          <w:numId w:val="2"/>
        </w:numPr>
        <w:spacing w:line="360" w:lineRule="exact"/>
        <w:ind w:leftChars="-100" w:left="40" w:hangingChars="100" w:hanging="280"/>
        <w:jc w:val="both"/>
        <w:rPr>
          <w:rFonts w:ascii="Times New Roman" w:eastAsia="標楷體" w:hAnsi="Times New Roman" w:cs="Times New Roman"/>
          <w:color w:val="000000" w:themeColor="text1"/>
          <w:sz w:val="28"/>
          <w:szCs w:val="28"/>
        </w:rPr>
      </w:pPr>
      <w:proofErr w:type="gramStart"/>
      <w:r w:rsidRPr="00D2796E">
        <w:rPr>
          <w:rFonts w:ascii="Times New Roman" w:eastAsia="標楷體" w:hAnsi="Times New Roman" w:cs="Times New Roman"/>
          <w:b/>
          <w:color w:val="000000" w:themeColor="text1"/>
          <w:sz w:val="28"/>
          <w:szCs w:val="28"/>
        </w:rPr>
        <w:t>註</w:t>
      </w:r>
      <w:proofErr w:type="gramEnd"/>
      <w:r w:rsidRPr="00D2796E">
        <w:rPr>
          <w:rFonts w:ascii="Times New Roman" w:eastAsia="標楷體" w:hAnsi="Times New Roman" w:cs="Times New Roman"/>
          <w:b/>
          <w:color w:val="000000" w:themeColor="text1"/>
          <w:sz w:val="28"/>
          <w:szCs w:val="28"/>
        </w:rPr>
        <w:t>1</w:t>
      </w:r>
      <w:r w:rsidRPr="00D2796E">
        <w:rPr>
          <w:rFonts w:ascii="Times New Roman" w:eastAsia="標楷體" w:hAnsi="Times New Roman" w:cs="Times New Roman"/>
          <w:color w:val="000000" w:themeColor="text1"/>
          <w:sz w:val="28"/>
          <w:szCs w:val="28"/>
        </w:rPr>
        <w:t>：「一般公務人員」係指</w:t>
      </w:r>
      <w:r w:rsidRPr="00D2796E">
        <w:rPr>
          <w:rFonts w:ascii="Times New Roman" w:eastAsia="標楷體" w:hAnsi="Times New Roman" w:cs="Times New Roman"/>
          <w:color w:val="000000" w:themeColor="text1"/>
          <w:sz w:val="28"/>
          <w:szCs w:val="28"/>
        </w:rPr>
        <w:t>(1)</w:t>
      </w:r>
      <w:r w:rsidRPr="00D2796E">
        <w:rPr>
          <w:rFonts w:ascii="Times New Roman" w:eastAsia="標楷體" w:hAnsi="Times New Roman" w:cs="Times New Roman"/>
          <w:color w:val="000000" w:themeColor="text1"/>
          <w:sz w:val="28"/>
          <w:szCs w:val="28"/>
        </w:rPr>
        <w:t>依法任用、派用之有給專任人員。</w:t>
      </w:r>
      <w:r w:rsidRPr="00D2796E">
        <w:rPr>
          <w:rFonts w:ascii="Times New Roman" w:eastAsia="標楷體" w:hAnsi="Times New Roman" w:cs="Times New Roman"/>
          <w:color w:val="000000" w:themeColor="text1"/>
          <w:sz w:val="28"/>
          <w:szCs w:val="28"/>
        </w:rPr>
        <w:t>(2)</w:t>
      </w:r>
      <w:r w:rsidRPr="00D2796E">
        <w:rPr>
          <w:rFonts w:ascii="Times New Roman" w:eastAsia="標楷體" w:hAnsi="Times New Roman" w:cs="Times New Roman"/>
          <w:color w:val="000000" w:themeColor="text1"/>
          <w:sz w:val="28"/>
          <w:szCs w:val="28"/>
        </w:rPr>
        <w:t>依法聘任、聘用及僱用人員。</w:t>
      </w:r>
      <w:r w:rsidRPr="00D2796E">
        <w:rPr>
          <w:rFonts w:ascii="Times New Roman" w:eastAsia="標楷體" w:hAnsi="Times New Roman" w:cs="Times New Roman"/>
          <w:color w:val="000000" w:themeColor="text1"/>
          <w:sz w:val="28"/>
          <w:szCs w:val="28"/>
        </w:rPr>
        <w:t>(3)</w:t>
      </w:r>
      <w:r w:rsidRPr="00D2796E">
        <w:rPr>
          <w:rFonts w:ascii="Times New Roman" w:eastAsia="標楷體" w:hAnsi="Times New Roman" w:cs="Times New Roman"/>
          <w:color w:val="000000" w:themeColor="text1"/>
          <w:sz w:val="28"/>
          <w:szCs w:val="28"/>
        </w:rPr>
        <w:t>公務人員考試錄取人員</w:t>
      </w:r>
      <w:r w:rsidRPr="00D2796E">
        <w:rPr>
          <w:rFonts w:ascii="Times New Roman" w:eastAsia="標楷體" w:hAnsi="Times New Roman" w:hint="eastAsia"/>
          <w:color w:val="000000" w:themeColor="text1"/>
          <w:sz w:val="28"/>
          <w:szCs w:val="28"/>
        </w:rPr>
        <w:t>；</w:t>
      </w:r>
      <w:r w:rsidRPr="00D2796E">
        <w:rPr>
          <w:rFonts w:ascii="Times New Roman" w:eastAsia="標楷體" w:hAnsi="Times New Roman" w:cs="Times New Roman"/>
          <w:color w:val="000000" w:themeColor="text1"/>
          <w:sz w:val="28"/>
          <w:szCs w:val="28"/>
        </w:rPr>
        <w:t>「主管人員」係指機關正副首長、正副幕僚長及單位主管</w:t>
      </w:r>
      <w:r w:rsidRPr="00D2796E">
        <w:rPr>
          <w:rFonts w:ascii="Times New Roman" w:eastAsia="標楷體" w:hAnsi="Times New Roman" w:cs="Times New Roman" w:hint="eastAsia"/>
          <w:color w:val="000000" w:themeColor="text1"/>
          <w:sz w:val="28"/>
          <w:szCs w:val="28"/>
        </w:rPr>
        <w:t>；其他專任人員：各機關自</w:t>
      </w:r>
      <w:proofErr w:type="gramStart"/>
      <w:r w:rsidRPr="00D2796E">
        <w:rPr>
          <w:rFonts w:ascii="Times New Roman" w:eastAsia="標楷體" w:hAnsi="Times New Roman" w:cs="Times New Roman" w:hint="eastAsia"/>
          <w:color w:val="000000" w:themeColor="text1"/>
          <w:sz w:val="28"/>
          <w:szCs w:val="28"/>
        </w:rPr>
        <w:t>僱</w:t>
      </w:r>
      <w:proofErr w:type="gramEnd"/>
      <w:r w:rsidRPr="00D2796E">
        <w:rPr>
          <w:rFonts w:ascii="Times New Roman" w:eastAsia="標楷體" w:hAnsi="Times New Roman" w:cs="Times New Roman" w:hint="eastAsia"/>
          <w:color w:val="000000" w:themeColor="text1"/>
          <w:sz w:val="28"/>
          <w:szCs w:val="28"/>
        </w:rPr>
        <w:t>且不具公務人員身分之專任人員、</w:t>
      </w:r>
      <w:r w:rsidRPr="00D2796E">
        <w:rPr>
          <w:rFonts w:ascii="Times New Roman" w:eastAsia="標楷體" w:hAnsi="Times New Roman" w:hint="eastAsia"/>
          <w:color w:val="000000" w:themeColor="text1"/>
          <w:sz w:val="28"/>
          <w:szCs w:val="28"/>
        </w:rPr>
        <w:t>駐衛警察及工友</w:t>
      </w:r>
      <w:r w:rsidRPr="00D2796E">
        <w:rPr>
          <w:rFonts w:ascii="Times New Roman" w:eastAsia="標楷體" w:hAnsi="Times New Roman" w:hint="eastAsia"/>
          <w:color w:val="000000" w:themeColor="text1"/>
          <w:sz w:val="28"/>
          <w:szCs w:val="28"/>
        </w:rPr>
        <w:t>(</w:t>
      </w:r>
      <w:r w:rsidRPr="00D2796E">
        <w:rPr>
          <w:rFonts w:ascii="Times New Roman" w:eastAsia="標楷體" w:hAnsi="Times New Roman" w:hint="eastAsia"/>
          <w:color w:val="000000" w:themeColor="text1"/>
          <w:sz w:val="28"/>
          <w:szCs w:val="28"/>
        </w:rPr>
        <w:t>含技工、駕駛</w:t>
      </w:r>
      <w:r w:rsidRPr="00D2796E">
        <w:rPr>
          <w:rFonts w:ascii="Times New Roman" w:eastAsia="標楷體" w:hAnsi="Times New Roman" w:hint="eastAsia"/>
          <w:color w:val="000000" w:themeColor="text1"/>
          <w:sz w:val="28"/>
          <w:szCs w:val="28"/>
        </w:rPr>
        <w:t>)</w:t>
      </w:r>
      <w:r w:rsidRPr="00D2796E">
        <w:rPr>
          <w:rFonts w:ascii="Times New Roman" w:eastAsia="標楷體" w:hAnsi="Times New Roman" w:cs="Times New Roman"/>
          <w:color w:val="000000" w:themeColor="text1"/>
          <w:sz w:val="28"/>
          <w:szCs w:val="28"/>
        </w:rPr>
        <w:t>。</w:t>
      </w:r>
    </w:p>
    <w:p w14:paraId="3C46CD15" w14:textId="77777777" w:rsidR="00A85A36" w:rsidRPr="00D2796E" w:rsidRDefault="00A85A36" w:rsidP="00A85A36">
      <w:pPr>
        <w:pStyle w:val="a3"/>
        <w:numPr>
          <w:ilvl w:val="0"/>
          <w:numId w:val="1"/>
        </w:numPr>
        <w:spacing w:line="360" w:lineRule="exact"/>
        <w:ind w:leftChars="-100" w:left="40" w:hangingChars="100" w:hanging="280"/>
        <w:jc w:val="both"/>
        <w:rPr>
          <w:rFonts w:ascii="Times New Roman" w:eastAsia="標楷體" w:hAnsi="Times New Roman" w:cs="Times New Roman"/>
          <w:color w:val="000000" w:themeColor="text1"/>
          <w:sz w:val="28"/>
        </w:rPr>
      </w:pPr>
      <w:proofErr w:type="gramStart"/>
      <w:r w:rsidRPr="00D2796E">
        <w:rPr>
          <w:rFonts w:ascii="Times New Roman" w:eastAsia="標楷體" w:hAnsi="Times New Roman" w:cs="Times New Roman"/>
          <w:b/>
          <w:color w:val="000000" w:themeColor="text1"/>
          <w:sz w:val="28"/>
          <w:szCs w:val="28"/>
        </w:rPr>
        <w:t>註</w:t>
      </w:r>
      <w:proofErr w:type="gramEnd"/>
      <w:r w:rsidRPr="00D2796E">
        <w:rPr>
          <w:rFonts w:ascii="Times New Roman" w:eastAsia="標楷體" w:hAnsi="Times New Roman" w:cs="Times New Roman"/>
          <w:b/>
          <w:color w:val="000000" w:themeColor="text1"/>
          <w:sz w:val="28"/>
          <w:szCs w:val="28"/>
        </w:rPr>
        <w:t>2</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hint="eastAsia"/>
          <w:color w:val="000000" w:themeColor="text1"/>
          <w:sz w:val="28"/>
          <w:szCs w:val="28"/>
        </w:rPr>
        <w:t>「各機關性別平等訓練計畫」</w:t>
      </w:r>
      <w:r w:rsidRPr="00D2796E">
        <w:rPr>
          <w:rFonts w:ascii="Times New Roman" w:eastAsia="標楷體" w:hAnsi="Times New Roman" w:cs="Times New Roman" w:hint="eastAsia"/>
          <w:color w:val="000000" w:themeColor="text1"/>
          <w:sz w:val="28"/>
          <w:szCs w:val="28"/>
        </w:rPr>
        <w:t>(112</w:t>
      </w:r>
      <w:r w:rsidRPr="00D2796E">
        <w:rPr>
          <w:rFonts w:ascii="Times New Roman" w:eastAsia="標楷體" w:hAnsi="Times New Roman" w:cs="Times New Roman" w:hint="eastAsia"/>
          <w:color w:val="000000" w:themeColor="text1"/>
          <w:sz w:val="28"/>
          <w:szCs w:val="28"/>
        </w:rPr>
        <w:t>年</w:t>
      </w:r>
      <w:r w:rsidRPr="00D2796E">
        <w:rPr>
          <w:rFonts w:ascii="Times New Roman" w:eastAsia="標楷體" w:hAnsi="Times New Roman" w:cs="Times New Roman" w:hint="eastAsia"/>
          <w:color w:val="000000" w:themeColor="text1"/>
          <w:sz w:val="28"/>
          <w:szCs w:val="28"/>
        </w:rPr>
        <w:t>10</w:t>
      </w:r>
      <w:r w:rsidRPr="00D2796E">
        <w:rPr>
          <w:rFonts w:ascii="Times New Roman" w:eastAsia="標楷體" w:hAnsi="Times New Roman" w:cs="Times New Roman" w:hint="eastAsia"/>
          <w:color w:val="000000" w:themeColor="text1"/>
          <w:sz w:val="28"/>
          <w:szCs w:val="28"/>
        </w:rPr>
        <w:t>月</w:t>
      </w:r>
      <w:r w:rsidRPr="00D2796E">
        <w:rPr>
          <w:rFonts w:ascii="Times New Roman" w:eastAsia="標楷體" w:hAnsi="Times New Roman" w:cs="Times New Roman" w:hint="eastAsia"/>
          <w:color w:val="000000" w:themeColor="text1"/>
          <w:sz w:val="28"/>
          <w:szCs w:val="28"/>
        </w:rPr>
        <w:t>16</w:t>
      </w:r>
      <w:r w:rsidRPr="00D2796E">
        <w:rPr>
          <w:rFonts w:ascii="Times New Roman" w:eastAsia="標楷體" w:hAnsi="Times New Roman" w:cs="Times New Roman" w:hint="eastAsia"/>
          <w:color w:val="000000" w:themeColor="text1"/>
          <w:sz w:val="28"/>
          <w:szCs w:val="28"/>
        </w:rPr>
        <w:t>日</w:t>
      </w:r>
      <w:proofErr w:type="gramStart"/>
      <w:r w:rsidRPr="00D2796E">
        <w:rPr>
          <w:rFonts w:ascii="Times New Roman" w:eastAsia="標楷體" w:hAnsi="Times New Roman" w:cs="Times New Roman" w:hint="eastAsia"/>
          <w:color w:val="000000" w:themeColor="text1"/>
          <w:sz w:val="28"/>
          <w:szCs w:val="28"/>
        </w:rPr>
        <w:t>府社綜字</w:t>
      </w:r>
      <w:proofErr w:type="gramEnd"/>
      <w:r w:rsidRPr="00D2796E">
        <w:rPr>
          <w:rFonts w:ascii="Times New Roman" w:eastAsia="標楷體" w:hAnsi="Times New Roman" w:cs="Times New Roman" w:hint="eastAsia"/>
          <w:color w:val="000000" w:themeColor="text1"/>
          <w:sz w:val="28"/>
          <w:szCs w:val="28"/>
        </w:rPr>
        <w:t>第</w:t>
      </w:r>
      <w:r w:rsidRPr="00D2796E">
        <w:rPr>
          <w:rFonts w:ascii="Times New Roman" w:eastAsia="標楷體" w:hAnsi="Times New Roman" w:cs="Times New Roman" w:hint="eastAsia"/>
          <w:color w:val="000000" w:themeColor="text1"/>
          <w:sz w:val="28"/>
          <w:szCs w:val="28"/>
        </w:rPr>
        <w:t>1120281423</w:t>
      </w:r>
      <w:r w:rsidRPr="00D2796E">
        <w:rPr>
          <w:rFonts w:ascii="Times New Roman" w:eastAsia="標楷體" w:hAnsi="Times New Roman" w:cs="Times New Roman" w:hint="eastAsia"/>
          <w:color w:val="000000" w:themeColor="text1"/>
          <w:sz w:val="28"/>
          <w:szCs w:val="28"/>
        </w:rPr>
        <w:t>號函</w:t>
      </w:r>
      <w:r w:rsidRPr="00D2796E">
        <w:rPr>
          <w:rFonts w:ascii="Times New Roman" w:eastAsia="標楷體" w:hAnsi="Times New Roman" w:cs="Times New Roman" w:hint="eastAsia"/>
          <w:color w:val="000000" w:themeColor="text1"/>
          <w:sz w:val="28"/>
          <w:szCs w:val="28"/>
        </w:rPr>
        <w:t>)</w:t>
      </w:r>
      <w:r w:rsidRPr="00D2796E">
        <w:rPr>
          <w:rFonts w:ascii="Times New Roman" w:eastAsia="標楷體" w:hAnsi="Times New Roman" w:cs="Times New Roman"/>
          <w:color w:val="000000" w:themeColor="text1"/>
          <w:sz w:val="28"/>
          <w:szCs w:val="28"/>
        </w:rPr>
        <w:t>。</w:t>
      </w:r>
    </w:p>
    <w:bookmarkEnd w:id="3"/>
    <w:p w14:paraId="03367600" w14:textId="77777777" w:rsidR="00A85A36" w:rsidRPr="00D2796E" w:rsidRDefault="00A85A36" w:rsidP="00A85A36">
      <w:pPr>
        <w:pStyle w:val="a3"/>
        <w:numPr>
          <w:ilvl w:val="0"/>
          <w:numId w:val="1"/>
        </w:numPr>
        <w:spacing w:line="360" w:lineRule="exact"/>
        <w:ind w:leftChars="-100" w:left="40" w:hangingChars="100" w:hanging="280"/>
        <w:jc w:val="both"/>
        <w:rPr>
          <w:rFonts w:ascii="Times New Roman" w:eastAsia="標楷體" w:hAnsi="Times New Roman" w:cs="Times New Roman"/>
          <w:color w:val="000000" w:themeColor="text1"/>
          <w:sz w:val="28"/>
        </w:rPr>
      </w:pPr>
      <w:proofErr w:type="gramStart"/>
      <w:r w:rsidRPr="00D2796E">
        <w:rPr>
          <w:rFonts w:ascii="Times New Roman" w:eastAsia="標楷體" w:hAnsi="Times New Roman" w:cs="Times New Roman"/>
          <w:b/>
          <w:color w:val="000000" w:themeColor="text1"/>
          <w:sz w:val="28"/>
          <w:szCs w:val="28"/>
        </w:rPr>
        <w:t>註</w:t>
      </w:r>
      <w:proofErr w:type="gramEnd"/>
      <w:r w:rsidRPr="00D2796E">
        <w:rPr>
          <w:rFonts w:ascii="Times New Roman" w:eastAsia="標楷體" w:hAnsi="Times New Roman" w:cs="Times New Roman"/>
          <w:b/>
          <w:color w:val="000000" w:themeColor="text1"/>
          <w:sz w:val="28"/>
          <w:szCs w:val="28"/>
        </w:rPr>
        <w:t>3</w:t>
      </w:r>
      <w:r w:rsidRPr="00D2796E">
        <w:rPr>
          <w:rFonts w:ascii="Times New Roman" w:eastAsia="標楷體" w:hAnsi="Times New Roman" w:cs="Times New Roman"/>
          <w:color w:val="000000" w:themeColor="text1"/>
          <w:sz w:val="28"/>
          <w:szCs w:val="28"/>
        </w:rPr>
        <w:t>：「性別平等業務相關人員」係指實際從事提升婦女權益及促進性別平等之業務相關事宜</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包括性別主流化、消除對婦女一切形式歧視公約、各項性別平等政策措施、性別平等委員會、性別平等專責</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案小組</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之專責、兼辦人員</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含性別平等督導、性別議題聯絡人及議題代理人</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w:t>
      </w:r>
    </w:p>
    <w:p w14:paraId="5B598988" w14:textId="77777777" w:rsidR="00A85A36" w:rsidRPr="00D2796E" w:rsidRDefault="00A85A36" w:rsidP="00A85A36">
      <w:pPr>
        <w:pStyle w:val="a3"/>
        <w:numPr>
          <w:ilvl w:val="0"/>
          <w:numId w:val="1"/>
        </w:numPr>
        <w:spacing w:line="360" w:lineRule="exact"/>
        <w:ind w:leftChars="-100" w:left="40" w:hangingChars="100" w:hanging="280"/>
        <w:jc w:val="both"/>
        <w:rPr>
          <w:rFonts w:ascii="Times New Roman" w:eastAsia="標楷體" w:hAnsi="Times New Roman" w:cs="Times New Roman"/>
          <w:color w:val="000000" w:themeColor="text1"/>
          <w:sz w:val="28"/>
          <w:szCs w:val="28"/>
        </w:rPr>
      </w:pPr>
      <w:proofErr w:type="gramStart"/>
      <w:r w:rsidRPr="00D2796E">
        <w:rPr>
          <w:rFonts w:ascii="Times New Roman" w:eastAsia="標楷體" w:hAnsi="Times New Roman" w:cs="Times New Roman"/>
          <w:b/>
          <w:color w:val="000000" w:themeColor="text1"/>
          <w:sz w:val="28"/>
          <w:szCs w:val="28"/>
        </w:rPr>
        <w:t>註</w:t>
      </w:r>
      <w:proofErr w:type="gramEnd"/>
      <w:r w:rsidRPr="00D2796E">
        <w:rPr>
          <w:rFonts w:ascii="Times New Roman" w:eastAsia="標楷體" w:hAnsi="Times New Roman" w:cs="Times New Roman"/>
          <w:b/>
          <w:color w:val="000000" w:themeColor="text1"/>
          <w:sz w:val="28"/>
          <w:szCs w:val="28"/>
        </w:rPr>
        <w:t>4</w:t>
      </w:r>
      <w:r w:rsidRPr="00D2796E">
        <w:rPr>
          <w:rFonts w:ascii="Times New Roman" w:eastAsia="標楷體" w:hAnsi="Times New Roman" w:cs="Times New Roman"/>
          <w:color w:val="000000" w:themeColor="text1"/>
          <w:sz w:val="28"/>
          <w:szCs w:val="28"/>
        </w:rPr>
        <w:t>：性別統計指標項數之計算，包含新增</w:t>
      </w:r>
      <w:proofErr w:type="gramStart"/>
      <w:r w:rsidRPr="00D2796E">
        <w:rPr>
          <w:rFonts w:ascii="Times New Roman" w:eastAsia="標楷體" w:hAnsi="Times New Roman" w:cs="Times New Roman"/>
          <w:color w:val="000000" w:themeColor="text1"/>
          <w:sz w:val="28"/>
          <w:szCs w:val="28"/>
        </w:rPr>
        <w:t>複</w:t>
      </w:r>
      <w:proofErr w:type="gramEnd"/>
      <w:r w:rsidRPr="00D2796E">
        <w:rPr>
          <w:rFonts w:ascii="Times New Roman" w:eastAsia="標楷體" w:hAnsi="Times New Roman" w:cs="Times New Roman"/>
          <w:color w:val="000000" w:themeColor="text1"/>
          <w:sz w:val="28"/>
          <w:szCs w:val="28"/>
        </w:rPr>
        <w:t>分類、具有地方特色性別統計指標</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例如</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房屋稅、地價稅等地方稅開徵概況、取得不動產繼承登記繼承人數、市</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縣</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立運動中心使用</w:t>
      </w:r>
      <w:proofErr w:type="gramStart"/>
      <w:r w:rsidRPr="00D2796E">
        <w:rPr>
          <w:rFonts w:ascii="Times New Roman" w:eastAsia="標楷體" w:hAnsi="Times New Roman" w:cs="Times New Roman"/>
          <w:color w:val="000000" w:themeColor="text1"/>
          <w:sz w:val="28"/>
          <w:szCs w:val="28"/>
        </w:rPr>
        <w:t>人次、</w:t>
      </w:r>
      <w:proofErr w:type="gramEnd"/>
      <w:r w:rsidRPr="00D2796E">
        <w:rPr>
          <w:rFonts w:ascii="Times New Roman" w:eastAsia="標楷體" w:hAnsi="Times New Roman" w:cs="Times New Roman"/>
          <w:color w:val="000000" w:themeColor="text1"/>
          <w:sz w:val="28"/>
          <w:szCs w:val="28"/>
        </w:rPr>
        <w:t>市</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縣</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立博物館藝文展演活動駐館藝術家</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等，不包括新增年度別。</w:t>
      </w:r>
    </w:p>
    <w:p w14:paraId="14FE14B5" w14:textId="77777777" w:rsidR="00A85A36" w:rsidRPr="00D2796E" w:rsidRDefault="00A85A36" w:rsidP="00A85A36">
      <w:pPr>
        <w:pStyle w:val="a3"/>
        <w:numPr>
          <w:ilvl w:val="0"/>
          <w:numId w:val="1"/>
        </w:numPr>
        <w:spacing w:line="360" w:lineRule="exact"/>
        <w:ind w:leftChars="-100" w:left="40" w:hangingChars="100" w:hanging="280"/>
        <w:jc w:val="both"/>
        <w:rPr>
          <w:rFonts w:ascii="Times New Roman" w:eastAsia="標楷體" w:hAnsi="Times New Roman" w:cs="Times New Roman"/>
          <w:color w:val="000000" w:themeColor="text1"/>
          <w:sz w:val="28"/>
        </w:rPr>
      </w:pPr>
      <w:proofErr w:type="gramStart"/>
      <w:r w:rsidRPr="00D2796E">
        <w:rPr>
          <w:rFonts w:ascii="Times New Roman" w:eastAsia="標楷體" w:hAnsi="Times New Roman" w:cs="Times New Roman"/>
          <w:b/>
          <w:color w:val="000000" w:themeColor="text1"/>
          <w:sz w:val="28"/>
          <w:szCs w:val="28"/>
        </w:rPr>
        <w:t>註</w:t>
      </w:r>
      <w:proofErr w:type="gramEnd"/>
      <w:r w:rsidRPr="00D2796E">
        <w:rPr>
          <w:rFonts w:ascii="Times New Roman" w:eastAsia="標楷體" w:hAnsi="Times New Roman" w:cs="Times New Roman" w:hint="eastAsia"/>
          <w:b/>
          <w:color w:val="000000" w:themeColor="text1"/>
          <w:sz w:val="28"/>
          <w:szCs w:val="28"/>
        </w:rPr>
        <w:t>5</w:t>
      </w:r>
      <w:r w:rsidRPr="00D2796E">
        <w:rPr>
          <w:rFonts w:ascii="Times New Roman" w:eastAsia="標楷體" w:hAnsi="Times New Roman" w:cs="Times New Roman"/>
          <w:color w:val="000000" w:themeColor="text1"/>
          <w:sz w:val="28"/>
          <w:szCs w:val="28"/>
        </w:rPr>
        <w:t>：性別資料使用與分析：運用性別為基礎的相關事實資料</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含性別統計等量化與質化資料</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，了解該議題之標的人口群與利害關係人的立場和需求，並透過性別與其他面向或變項的交織分析</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如：種族、年齡、階級、文化、收入、信仰、語言、能力、教育程度、身心障礙狀態、性別認同、性傾向和性別氣質等</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，據以了解不同性別在經濟、社會、文化、環境和政治結構等面向下，處境的差異及現象的成因。</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舉例來說，不同年齡層的身心障礙女性，在就學、育兒、生活照顧等各個面向上會面對不同的問題，並有不同的需求組合</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w:t>
      </w:r>
    </w:p>
    <w:p w14:paraId="726D1641" w14:textId="77777777" w:rsidR="00A85A36" w:rsidRPr="00D2796E" w:rsidRDefault="00A85A36" w:rsidP="00A85A36">
      <w:pPr>
        <w:pStyle w:val="a3"/>
        <w:numPr>
          <w:ilvl w:val="0"/>
          <w:numId w:val="1"/>
        </w:numPr>
        <w:spacing w:line="360" w:lineRule="exact"/>
        <w:ind w:leftChars="-100" w:left="40" w:hangingChars="100" w:hanging="280"/>
        <w:jc w:val="both"/>
        <w:rPr>
          <w:rFonts w:ascii="Times New Roman" w:eastAsia="標楷體" w:hAnsi="Times New Roman" w:cs="Times New Roman"/>
          <w:color w:val="000000" w:themeColor="text1"/>
          <w:sz w:val="28"/>
          <w:szCs w:val="28"/>
        </w:rPr>
      </w:pPr>
      <w:proofErr w:type="gramStart"/>
      <w:r w:rsidRPr="00D2796E">
        <w:rPr>
          <w:rFonts w:ascii="Times New Roman" w:eastAsia="標楷體" w:hAnsi="Times New Roman" w:cs="Times New Roman"/>
          <w:b/>
          <w:color w:val="000000" w:themeColor="text1"/>
          <w:sz w:val="28"/>
          <w:szCs w:val="28"/>
        </w:rPr>
        <w:t>註</w:t>
      </w:r>
      <w:proofErr w:type="gramEnd"/>
      <w:r w:rsidRPr="00D2796E">
        <w:rPr>
          <w:rFonts w:ascii="Times New Roman" w:eastAsia="標楷體" w:hAnsi="Times New Roman" w:cs="Times New Roman" w:hint="eastAsia"/>
          <w:b/>
          <w:color w:val="000000" w:themeColor="text1"/>
          <w:sz w:val="28"/>
          <w:szCs w:val="28"/>
        </w:rPr>
        <w:t>6</w:t>
      </w:r>
      <w:r w:rsidRPr="00D2796E">
        <w:rPr>
          <w:rFonts w:ascii="Times New Roman" w:eastAsia="標楷體" w:hAnsi="Times New Roman" w:cs="Times New Roman"/>
          <w:color w:val="000000" w:themeColor="text1"/>
          <w:sz w:val="28"/>
          <w:szCs w:val="28"/>
        </w:rPr>
        <w:t>：自製</w:t>
      </w:r>
      <w:r w:rsidRPr="00D2796E">
        <w:rPr>
          <w:rFonts w:ascii="Times New Roman" w:eastAsia="標楷體" w:hAnsi="Times New Roman" w:cs="Times New Roman"/>
          <w:color w:val="000000" w:themeColor="text1"/>
          <w:sz w:val="28"/>
          <w:szCs w:val="28"/>
        </w:rPr>
        <w:t>CEDAW</w:t>
      </w:r>
      <w:r w:rsidRPr="00D2796E">
        <w:rPr>
          <w:rFonts w:ascii="Times New Roman" w:eastAsia="標楷體" w:hAnsi="Times New Roman" w:cs="Times New Roman"/>
          <w:color w:val="000000" w:themeColor="text1"/>
          <w:sz w:val="28"/>
          <w:szCs w:val="28"/>
        </w:rPr>
        <w:t>教材案例，包含縣市自行編撰案例，以及參考引用各部會案例。案例應包含相關</w:t>
      </w:r>
      <w:r w:rsidRPr="00D2796E">
        <w:rPr>
          <w:rFonts w:ascii="Times New Roman" w:eastAsia="標楷體" w:hAnsi="Times New Roman" w:cs="Times New Roman"/>
          <w:color w:val="000000" w:themeColor="text1"/>
          <w:sz w:val="28"/>
          <w:szCs w:val="28"/>
        </w:rPr>
        <w:t>CEDAW</w:t>
      </w:r>
      <w:r w:rsidRPr="00D2796E">
        <w:rPr>
          <w:rFonts w:ascii="Times New Roman" w:eastAsia="標楷體" w:hAnsi="Times New Roman" w:cs="Times New Roman"/>
          <w:color w:val="000000" w:themeColor="text1"/>
          <w:sz w:val="28"/>
          <w:szCs w:val="28"/>
        </w:rPr>
        <w:t>及一般性建議。各直轄市、縣</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市</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政府參考行政院性別平等處及各部會教材</w:t>
      </w:r>
      <w:r w:rsidRPr="00D2796E">
        <w:rPr>
          <w:rFonts w:ascii="Times New Roman" w:eastAsia="標楷體" w:hAnsi="Times New Roman" w:cs="Times New Roman"/>
          <w:color w:val="000000" w:themeColor="text1"/>
          <w:sz w:val="28"/>
          <w:szCs w:val="28"/>
        </w:rPr>
        <w:t>(</w:t>
      </w:r>
      <w:r w:rsidRPr="00D2796E">
        <w:rPr>
          <w:rFonts w:ascii="Times New Roman" w:eastAsia="標楷體" w:hAnsi="Times New Roman" w:cs="Times New Roman"/>
          <w:color w:val="000000" w:themeColor="text1"/>
          <w:sz w:val="28"/>
          <w:szCs w:val="28"/>
        </w:rPr>
        <w:t>例如，交通局可參考引用交通部教材</w:t>
      </w:r>
      <w:proofErr w:type="gramStart"/>
      <w:r w:rsidRPr="00D2796E">
        <w:rPr>
          <w:rFonts w:ascii="Times New Roman" w:eastAsia="標楷體" w:hAnsi="Times New Roman" w:cs="Times New Roman"/>
          <w:color w:val="000000" w:themeColor="text1"/>
          <w:sz w:val="28"/>
          <w:szCs w:val="28"/>
        </w:rPr>
        <w:t>）</w:t>
      </w:r>
      <w:proofErr w:type="gramEnd"/>
      <w:r w:rsidRPr="00D2796E">
        <w:rPr>
          <w:rFonts w:ascii="Times New Roman" w:eastAsia="標楷體" w:hAnsi="Times New Roman" w:cs="Times New Roman"/>
          <w:color w:val="000000" w:themeColor="text1"/>
          <w:sz w:val="28"/>
          <w:szCs w:val="28"/>
        </w:rPr>
        <w:t>，建置及蒐集適用各機關不同專業人員之</w:t>
      </w:r>
      <w:r w:rsidRPr="00D2796E">
        <w:rPr>
          <w:rFonts w:ascii="Times New Roman" w:eastAsia="標楷體" w:hAnsi="Times New Roman" w:cs="Times New Roman"/>
          <w:color w:val="000000" w:themeColor="text1"/>
          <w:sz w:val="28"/>
          <w:szCs w:val="28"/>
        </w:rPr>
        <w:t>CEDAW</w:t>
      </w:r>
      <w:r w:rsidRPr="00D2796E">
        <w:rPr>
          <w:rFonts w:ascii="Times New Roman" w:eastAsia="標楷體" w:hAnsi="Times New Roman" w:cs="Times New Roman"/>
          <w:color w:val="000000" w:themeColor="text1"/>
          <w:sz w:val="28"/>
          <w:szCs w:val="28"/>
        </w:rPr>
        <w:t>教材及案例，並可加入地方需求、特色及申訴案例。可參考中央、地方政府自製教材：</w:t>
      </w:r>
      <w:r w:rsidRPr="00D2796E">
        <w:rPr>
          <w:rFonts w:ascii="Times New Roman" w:hAnsi="Times New Roman" w:cs="Times New Roman"/>
          <w:color w:val="000000" w:themeColor="text1"/>
          <w:sz w:val="28"/>
        </w:rPr>
        <w:t>https://gec.ey.gov.tw/Page/6F34148293F71D84</w:t>
      </w:r>
      <w:r w:rsidRPr="00D2796E">
        <w:rPr>
          <w:rFonts w:ascii="Times New Roman" w:eastAsia="標楷體" w:hAnsi="Times New Roman" w:cs="Times New Roman"/>
          <w:color w:val="000000" w:themeColor="text1"/>
          <w:kern w:val="0"/>
        </w:rPr>
        <w:t>。</w:t>
      </w:r>
    </w:p>
    <w:p w14:paraId="2593809B" w14:textId="77777777" w:rsidR="005A2576" w:rsidRPr="00A85A36" w:rsidRDefault="005A2576"/>
    <w:sectPr w:rsidR="005A2576" w:rsidRPr="00A85A36" w:rsidSect="00A85A3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60E2"/>
    <w:multiLevelType w:val="hybridMultilevel"/>
    <w:tmpl w:val="66C05006"/>
    <w:lvl w:ilvl="0" w:tplc="7ABE70F6">
      <w:start w:val="1"/>
      <w:numFmt w:val="upperLetter"/>
      <w:lvlText w:val="%1."/>
      <w:lvlJc w:val="left"/>
      <w:pPr>
        <w:ind w:left="1680" w:hanging="480"/>
      </w:pPr>
      <w:rPr>
        <w:rFonts w:hint="eastAsia"/>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3FA3A5D"/>
    <w:multiLevelType w:val="hybridMultilevel"/>
    <w:tmpl w:val="141A803A"/>
    <w:lvl w:ilvl="0" w:tplc="A1166FFC">
      <w:start w:val="1"/>
      <w:numFmt w:val="decimal"/>
      <w:lvlText w:val="%1."/>
      <w:lvlJc w:val="left"/>
      <w:pPr>
        <w:ind w:left="1245" w:hanging="480"/>
      </w:pPr>
      <w:rPr>
        <w:rFonts w:hint="default"/>
        <w:color w:val="000000" w:themeColor="text1"/>
      </w:rPr>
    </w:lvl>
    <w:lvl w:ilvl="1" w:tplc="73C23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54E10"/>
    <w:multiLevelType w:val="hybridMultilevel"/>
    <w:tmpl w:val="0F4417E0"/>
    <w:lvl w:ilvl="0" w:tplc="2BB2D7E2">
      <w:start w:val="1"/>
      <w:numFmt w:val="decimal"/>
      <w:lvlText w:val="(%1)"/>
      <w:lvlJc w:val="left"/>
      <w:pPr>
        <w:ind w:left="1245"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520B1"/>
    <w:multiLevelType w:val="hybridMultilevel"/>
    <w:tmpl w:val="A9EEA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B2B6C"/>
    <w:multiLevelType w:val="hybridMultilevel"/>
    <w:tmpl w:val="17F2FDC2"/>
    <w:lvl w:ilvl="0" w:tplc="824C3BC4">
      <w:start w:val="1"/>
      <w:numFmt w:val="decimal"/>
      <w:lvlText w:val="%1."/>
      <w:lvlJc w:val="left"/>
      <w:pPr>
        <w:ind w:left="1245" w:hanging="480"/>
      </w:pPr>
      <w:rPr>
        <w:rFonts w:hint="default"/>
        <w:color w:val="000000" w:themeColor="text1"/>
      </w:rPr>
    </w:lvl>
    <w:lvl w:ilvl="1" w:tplc="73C23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402BC4"/>
    <w:multiLevelType w:val="hybridMultilevel"/>
    <w:tmpl w:val="E1004DAC"/>
    <w:lvl w:ilvl="0" w:tplc="15720DB6">
      <w:start w:val="1"/>
      <w:numFmt w:val="ideographLegalTraditional"/>
      <w:suff w:val="nothing"/>
      <w:lvlText w:val="%1、"/>
      <w:lvlJc w:val="left"/>
      <w:pPr>
        <w:ind w:left="1048" w:hanging="480"/>
      </w:pPr>
      <w:rPr>
        <w:rFonts w:hint="eastAsia"/>
        <w:b/>
        <w:lang w:val="en-US"/>
      </w:rPr>
    </w:lvl>
    <w:lvl w:ilvl="1" w:tplc="75A49A8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B7609B"/>
    <w:multiLevelType w:val="hybridMultilevel"/>
    <w:tmpl w:val="0914BBC2"/>
    <w:lvl w:ilvl="0" w:tplc="9272BE10">
      <w:start w:val="1"/>
      <w:numFmt w:val="taiwaneseCountingThousand"/>
      <w:suff w:val="nothing"/>
      <w:lvlText w:val="(%1)"/>
      <w:lvlJc w:val="left"/>
      <w:pPr>
        <w:ind w:left="1245" w:hanging="480"/>
      </w:pPr>
      <w:rPr>
        <w:rFonts w:ascii="標楷體" w:eastAsia="標楷體" w:hAnsi="標楷體" w:hint="default"/>
      </w:rPr>
    </w:lvl>
    <w:lvl w:ilvl="1" w:tplc="73C23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0E7224"/>
    <w:multiLevelType w:val="hybridMultilevel"/>
    <w:tmpl w:val="5C6CF8AE"/>
    <w:lvl w:ilvl="0" w:tplc="CF1AB0CA">
      <w:start w:val="1"/>
      <w:numFmt w:val="upperLetter"/>
      <w:suff w:val="nothing"/>
      <w:lvlText w:val="%1."/>
      <w:lvlJc w:val="left"/>
      <w:pPr>
        <w:ind w:left="1245" w:hanging="480"/>
      </w:pPr>
      <w:rPr>
        <w:rFonts w:hint="default"/>
        <w:color w:val="000000" w:themeColor="text1"/>
      </w:rPr>
    </w:lvl>
    <w:lvl w:ilvl="1" w:tplc="04090019">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8" w15:restartNumberingAfterBreak="0">
    <w:nsid w:val="27C14DB9"/>
    <w:multiLevelType w:val="hybridMultilevel"/>
    <w:tmpl w:val="A8C641F4"/>
    <w:lvl w:ilvl="0" w:tplc="CE74C690">
      <w:start w:val="1"/>
      <w:numFmt w:val="decimal"/>
      <w:suff w:val="nothing"/>
      <w:lvlText w:val="%1."/>
      <w:lvlJc w:val="left"/>
      <w:pPr>
        <w:ind w:left="12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3E7DBE"/>
    <w:multiLevelType w:val="hybridMultilevel"/>
    <w:tmpl w:val="57B08A74"/>
    <w:lvl w:ilvl="0" w:tplc="0C009C3E">
      <w:start w:val="1"/>
      <w:numFmt w:val="bullet"/>
      <w:lvlText w:val=""/>
      <w:lvlJc w:val="left"/>
      <w:pPr>
        <w:ind w:left="480" w:hanging="480"/>
      </w:pPr>
      <w:rPr>
        <w:rFonts w:ascii="Wingdings" w:hAnsi="Wingdings" w:hint="default"/>
        <w:color w:val="404040" w:themeColor="text1" w:themeTint="B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71D1CA7"/>
    <w:multiLevelType w:val="hybridMultilevel"/>
    <w:tmpl w:val="5920992E"/>
    <w:lvl w:ilvl="0" w:tplc="0166F5F4">
      <w:start w:val="1"/>
      <w:numFmt w:val="taiwaneseCountingThousand"/>
      <w:lvlText w:val="%1、"/>
      <w:lvlJc w:val="left"/>
      <w:pPr>
        <w:ind w:left="96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254F38"/>
    <w:multiLevelType w:val="hybridMultilevel"/>
    <w:tmpl w:val="3DBCB1C0"/>
    <w:lvl w:ilvl="0" w:tplc="04090015">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3ADB270B"/>
    <w:multiLevelType w:val="hybridMultilevel"/>
    <w:tmpl w:val="306AC75E"/>
    <w:lvl w:ilvl="0" w:tplc="530E9264">
      <w:start w:val="1"/>
      <w:numFmt w:val="taiwaneseCountingThousand"/>
      <w:suff w:val="nothing"/>
      <w:lvlText w:val="%1、"/>
      <w:lvlJc w:val="left"/>
      <w:pPr>
        <w:ind w:left="1245" w:hanging="480"/>
      </w:pPr>
      <w:rPr>
        <w:rFonts w:hint="default"/>
        <w:sz w:val="28"/>
        <w:szCs w:val="28"/>
      </w:rPr>
    </w:lvl>
    <w:lvl w:ilvl="1" w:tplc="062AC81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564140"/>
    <w:multiLevelType w:val="hybridMultilevel"/>
    <w:tmpl w:val="914EEE6A"/>
    <w:lvl w:ilvl="0" w:tplc="1FF0A07A">
      <w:start w:val="1"/>
      <w:numFmt w:val="decimal"/>
      <w:lvlText w:val="(%1)"/>
      <w:lvlJc w:val="left"/>
      <w:pPr>
        <w:ind w:left="1245"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6873D5"/>
    <w:multiLevelType w:val="hybridMultilevel"/>
    <w:tmpl w:val="CDB4171E"/>
    <w:lvl w:ilvl="0" w:tplc="0409000F">
      <w:start w:val="1"/>
      <w:numFmt w:val="decimal"/>
      <w:lvlText w:val="%1."/>
      <w:lvlJc w:val="left"/>
      <w:pPr>
        <w:ind w:left="1680" w:hanging="480"/>
      </w:pPr>
    </w:lvl>
    <w:lvl w:ilvl="1" w:tplc="3FA4F55C">
      <w:start w:val="1"/>
      <w:numFmt w:val="decimal"/>
      <w:lvlText w:val="(%2)"/>
      <w:lvlJc w:val="left"/>
      <w:pPr>
        <w:ind w:left="2160" w:hanging="480"/>
      </w:pPr>
      <w:rPr>
        <w:rFonts w:hint="eastAsia"/>
        <w:color w:val="000000" w:themeColor="text1"/>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4CCC742C"/>
    <w:multiLevelType w:val="hybridMultilevel"/>
    <w:tmpl w:val="6986AA90"/>
    <w:lvl w:ilvl="0" w:tplc="EC82F85C">
      <w:start w:val="1"/>
      <w:numFmt w:val="taiwaneseCountingThousand"/>
      <w:lvlText w:val="%1、"/>
      <w:lvlJc w:val="left"/>
      <w:pPr>
        <w:ind w:left="862" w:hanging="720"/>
      </w:pPr>
      <w:rPr>
        <w:rFonts w:hint="default"/>
        <w:color w:val="000000" w:themeColor="text1"/>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51EE5955"/>
    <w:multiLevelType w:val="hybridMultilevel"/>
    <w:tmpl w:val="78A4C0CC"/>
    <w:lvl w:ilvl="0" w:tplc="F4BED3E0">
      <w:start w:val="1"/>
      <w:numFmt w:val="decimal"/>
      <w:lvlText w:val="(%1)"/>
      <w:lvlJc w:val="left"/>
      <w:pPr>
        <w:ind w:left="1245"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0E1E58"/>
    <w:multiLevelType w:val="hybridMultilevel"/>
    <w:tmpl w:val="D3504C00"/>
    <w:lvl w:ilvl="0" w:tplc="06F090B8">
      <w:start w:val="1"/>
      <w:numFmt w:val="decimalEnclosedCircle"/>
      <w:lvlText w:val="%1"/>
      <w:lvlJc w:val="left"/>
      <w:pPr>
        <w:ind w:left="1245" w:hanging="480"/>
      </w:pPr>
      <w:rPr>
        <w:rFonts w:ascii="新細明體" w:eastAsia="新細明體" w:hAnsi="新細明體" w:cstheme="minorBidi" w:hint="eastAsia"/>
        <w:strike w:val="0"/>
        <w:color w:val="000000" w:themeColor="text1"/>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5CF277C5"/>
    <w:multiLevelType w:val="hybridMultilevel"/>
    <w:tmpl w:val="A8C641F4"/>
    <w:lvl w:ilvl="0" w:tplc="CE74C690">
      <w:start w:val="1"/>
      <w:numFmt w:val="decimal"/>
      <w:suff w:val="nothing"/>
      <w:lvlText w:val="%1."/>
      <w:lvlJc w:val="left"/>
      <w:pPr>
        <w:ind w:left="12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32758E"/>
    <w:multiLevelType w:val="hybridMultilevel"/>
    <w:tmpl w:val="103C20CC"/>
    <w:lvl w:ilvl="0" w:tplc="7B8AD428">
      <w:start w:val="1"/>
      <w:numFmt w:val="taiwaneseCountingThousand"/>
      <w:suff w:val="nothing"/>
      <w:lvlText w:val="(%1)"/>
      <w:lvlJc w:val="left"/>
      <w:pPr>
        <w:ind w:left="1245" w:hanging="480"/>
      </w:pPr>
      <w:rPr>
        <w:rFonts w:ascii="標楷體" w:eastAsia="標楷體" w:hAnsi="標楷體" w:hint="default"/>
      </w:rPr>
    </w:lvl>
    <w:lvl w:ilvl="1" w:tplc="73C23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AE5CBE"/>
    <w:multiLevelType w:val="hybridMultilevel"/>
    <w:tmpl w:val="98C42110"/>
    <w:lvl w:ilvl="0" w:tplc="A8AE9378">
      <w:start w:val="1"/>
      <w:numFmt w:val="decimal"/>
      <w:lvlText w:val="%1."/>
      <w:lvlJc w:val="left"/>
      <w:pPr>
        <w:ind w:left="1245" w:hanging="480"/>
      </w:pPr>
      <w:rPr>
        <w:rFonts w:hint="default"/>
        <w:color w:val="000000" w:themeColor="text1"/>
      </w:rPr>
    </w:lvl>
    <w:lvl w:ilvl="1" w:tplc="73C23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07019"/>
    <w:multiLevelType w:val="hybridMultilevel"/>
    <w:tmpl w:val="89F86FA0"/>
    <w:lvl w:ilvl="0" w:tplc="FFFFFFFF">
      <w:start w:val="1"/>
      <w:numFmt w:val="decimal"/>
      <w:lvlText w:val="%1."/>
      <w:lvlJc w:val="left"/>
      <w:pPr>
        <w:ind w:left="1481" w:hanging="480"/>
      </w:pPr>
    </w:lvl>
    <w:lvl w:ilvl="1" w:tplc="FFFFFFFF" w:tentative="1">
      <w:start w:val="1"/>
      <w:numFmt w:val="ideographTraditional"/>
      <w:lvlText w:val="%2、"/>
      <w:lvlJc w:val="left"/>
      <w:pPr>
        <w:ind w:left="1961" w:hanging="480"/>
      </w:pPr>
    </w:lvl>
    <w:lvl w:ilvl="2" w:tplc="FFFFFFFF" w:tentative="1">
      <w:start w:val="1"/>
      <w:numFmt w:val="lowerRoman"/>
      <w:lvlText w:val="%3."/>
      <w:lvlJc w:val="right"/>
      <w:pPr>
        <w:ind w:left="2441" w:hanging="480"/>
      </w:pPr>
    </w:lvl>
    <w:lvl w:ilvl="3" w:tplc="FFFFFFFF" w:tentative="1">
      <w:start w:val="1"/>
      <w:numFmt w:val="decimal"/>
      <w:lvlText w:val="%4."/>
      <w:lvlJc w:val="left"/>
      <w:pPr>
        <w:ind w:left="2921" w:hanging="480"/>
      </w:pPr>
    </w:lvl>
    <w:lvl w:ilvl="4" w:tplc="FFFFFFFF" w:tentative="1">
      <w:start w:val="1"/>
      <w:numFmt w:val="ideographTraditional"/>
      <w:lvlText w:val="%5、"/>
      <w:lvlJc w:val="left"/>
      <w:pPr>
        <w:ind w:left="3401" w:hanging="480"/>
      </w:pPr>
    </w:lvl>
    <w:lvl w:ilvl="5" w:tplc="FFFFFFFF" w:tentative="1">
      <w:start w:val="1"/>
      <w:numFmt w:val="lowerRoman"/>
      <w:lvlText w:val="%6."/>
      <w:lvlJc w:val="right"/>
      <w:pPr>
        <w:ind w:left="3881" w:hanging="480"/>
      </w:pPr>
    </w:lvl>
    <w:lvl w:ilvl="6" w:tplc="FFFFFFFF" w:tentative="1">
      <w:start w:val="1"/>
      <w:numFmt w:val="decimal"/>
      <w:lvlText w:val="%7."/>
      <w:lvlJc w:val="left"/>
      <w:pPr>
        <w:ind w:left="4361" w:hanging="480"/>
      </w:pPr>
    </w:lvl>
    <w:lvl w:ilvl="7" w:tplc="FFFFFFFF" w:tentative="1">
      <w:start w:val="1"/>
      <w:numFmt w:val="ideographTraditional"/>
      <w:lvlText w:val="%8、"/>
      <w:lvlJc w:val="left"/>
      <w:pPr>
        <w:ind w:left="4841" w:hanging="480"/>
      </w:pPr>
    </w:lvl>
    <w:lvl w:ilvl="8" w:tplc="FFFFFFFF" w:tentative="1">
      <w:start w:val="1"/>
      <w:numFmt w:val="lowerRoman"/>
      <w:lvlText w:val="%9."/>
      <w:lvlJc w:val="right"/>
      <w:pPr>
        <w:ind w:left="5321" w:hanging="480"/>
      </w:pPr>
    </w:lvl>
  </w:abstractNum>
  <w:abstractNum w:abstractNumId="22" w15:restartNumberingAfterBreak="0">
    <w:nsid w:val="69540F3D"/>
    <w:multiLevelType w:val="hybridMultilevel"/>
    <w:tmpl w:val="439AB91C"/>
    <w:lvl w:ilvl="0" w:tplc="42BA544C">
      <w:start w:val="1"/>
      <w:numFmt w:val="taiwaneseCountingThousand"/>
      <w:lvlText w:val="(%1)"/>
      <w:lvlJc w:val="left"/>
      <w:pPr>
        <w:ind w:left="1037" w:hanging="480"/>
      </w:pPr>
      <w:rPr>
        <w:rFonts w:hint="eastAsia"/>
        <w:b/>
      </w:rPr>
    </w:lvl>
    <w:lvl w:ilvl="1" w:tplc="E5A21142">
      <w:start w:val="1"/>
      <w:numFmt w:val="taiwaneseCountingThousand"/>
      <w:suff w:val="nothing"/>
      <w:lvlText w:val="(%2)"/>
      <w:lvlJc w:val="left"/>
      <w:pPr>
        <w:ind w:left="905" w:hanging="480"/>
      </w:pPr>
      <w:rPr>
        <w:rFonts w:ascii="標楷體" w:eastAsia="標楷體" w:hAnsi="標楷體" w:hint="default"/>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3" w15:restartNumberingAfterBreak="0">
    <w:nsid w:val="6C75219D"/>
    <w:multiLevelType w:val="hybridMultilevel"/>
    <w:tmpl w:val="803C192E"/>
    <w:lvl w:ilvl="0" w:tplc="4C7487C2">
      <w:start w:val="1"/>
      <w:numFmt w:val="decimalEnclosedCircle"/>
      <w:lvlText w:val="%1"/>
      <w:lvlJc w:val="left"/>
      <w:pPr>
        <w:ind w:left="1245" w:hanging="480"/>
      </w:pPr>
      <w:rPr>
        <w:rFonts w:ascii="新細明體" w:eastAsia="新細明體" w:hAnsi="新細明體" w:cstheme="minorBidi" w:hint="default"/>
        <w:strike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6D674D58"/>
    <w:multiLevelType w:val="hybridMultilevel"/>
    <w:tmpl w:val="4BF6B0EE"/>
    <w:lvl w:ilvl="0" w:tplc="28F23136">
      <w:start w:val="1"/>
      <w:numFmt w:val="decimalEnclosedCircle"/>
      <w:lvlText w:val="%1"/>
      <w:lvlJc w:val="left"/>
      <w:pPr>
        <w:ind w:left="2520" w:hanging="480"/>
      </w:pPr>
      <w:rPr>
        <w:rFonts w:ascii="新細明體" w:eastAsia="新細明體" w:hAnsi="新細明體" w:cstheme="minorBidi"/>
        <w:strike w:val="0"/>
        <w:color w:val="000000" w:themeColor="text1"/>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6E377536"/>
    <w:multiLevelType w:val="hybridMultilevel"/>
    <w:tmpl w:val="ADE471C4"/>
    <w:lvl w:ilvl="0" w:tplc="F0AA7280">
      <w:start w:val="1"/>
      <w:numFmt w:val="decimal"/>
      <w:lvlText w:val="(%1)"/>
      <w:lvlJc w:val="left"/>
      <w:pPr>
        <w:ind w:left="1245"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486998"/>
    <w:multiLevelType w:val="hybridMultilevel"/>
    <w:tmpl w:val="53FE96B0"/>
    <w:lvl w:ilvl="0" w:tplc="7FEAC040">
      <w:start w:val="1"/>
      <w:numFmt w:val="decimal"/>
      <w:lvlText w:val="(%1)"/>
      <w:lvlJc w:val="left"/>
      <w:pPr>
        <w:ind w:left="1245"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306D45"/>
    <w:multiLevelType w:val="hybridMultilevel"/>
    <w:tmpl w:val="A8C641F4"/>
    <w:lvl w:ilvl="0" w:tplc="CE74C690">
      <w:start w:val="1"/>
      <w:numFmt w:val="decimal"/>
      <w:suff w:val="nothing"/>
      <w:lvlText w:val="%1."/>
      <w:lvlJc w:val="left"/>
      <w:pPr>
        <w:ind w:left="12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280878"/>
    <w:multiLevelType w:val="hybridMultilevel"/>
    <w:tmpl w:val="3802FF54"/>
    <w:lvl w:ilvl="0" w:tplc="BEF8B130">
      <w:start w:val="1"/>
      <w:numFmt w:val="taiwaneseCountingThousand"/>
      <w:lvlText w:val="(%1)"/>
      <w:lvlJc w:val="left"/>
      <w:pPr>
        <w:ind w:left="1189" w:hanging="480"/>
      </w:pPr>
      <w:rPr>
        <w:rFonts w:ascii="標楷體" w:eastAsia="標楷體" w:hAnsi="標楷體" w:hint="default"/>
        <w:b w:val="0"/>
        <w:color w:val="000000" w:themeColor="text1"/>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771A6345"/>
    <w:multiLevelType w:val="hybridMultilevel"/>
    <w:tmpl w:val="30964670"/>
    <w:lvl w:ilvl="0" w:tplc="95AA2E9A">
      <w:start w:val="1"/>
      <w:numFmt w:val="taiwaneseCountingThousand"/>
      <w:suff w:val="nothing"/>
      <w:lvlText w:val="(%1)"/>
      <w:lvlJc w:val="left"/>
      <w:pPr>
        <w:ind w:left="1245" w:hanging="480"/>
      </w:pPr>
      <w:rPr>
        <w:rFonts w:ascii="標楷體" w:eastAsia="標楷體" w:hAnsi="標楷體" w:hint="default"/>
        <w:color w:val="000000" w:themeColor="text1"/>
      </w:rPr>
    </w:lvl>
    <w:lvl w:ilvl="1" w:tplc="73C23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2A562A"/>
    <w:multiLevelType w:val="hybridMultilevel"/>
    <w:tmpl w:val="A502CABE"/>
    <w:lvl w:ilvl="0" w:tplc="6E7E3930">
      <w:start w:val="1"/>
      <w:numFmt w:val="decimal"/>
      <w:suff w:val="nothing"/>
      <w:lvlText w:val="%1."/>
      <w:lvlJc w:val="left"/>
      <w:pPr>
        <w:ind w:left="1245"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A40F59"/>
    <w:multiLevelType w:val="hybridMultilevel"/>
    <w:tmpl w:val="4A947CFA"/>
    <w:lvl w:ilvl="0" w:tplc="05DAD5AE">
      <w:start w:val="1"/>
      <w:numFmt w:val="decimal"/>
      <w:lvlText w:val="%1."/>
      <w:lvlJc w:val="left"/>
      <w:pPr>
        <w:ind w:left="1331" w:hanging="480"/>
      </w:pPr>
      <w:rPr>
        <w:color w:val="000000" w:themeColor="text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15:restartNumberingAfterBreak="0">
    <w:nsid w:val="79D10C18"/>
    <w:multiLevelType w:val="hybridMultilevel"/>
    <w:tmpl w:val="B8BED84A"/>
    <w:lvl w:ilvl="0" w:tplc="F4C6F994">
      <w:start w:val="1"/>
      <w:numFmt w:val="taiwaneseCountingThousand"/>
      <w:lvlText w:val="(%1)"/>
      <w:lvlJc w:val="left"/>
      <w:pPr>
        <w:ind w:left="480" w:hanging="480"/>
      </w:pPr>
      <w:rPr>
        <w:rFonts w:hint="default"/>
        <w:b/>
      </w:rPr>
    </w:lvl>
    <w:lvl w:ilvl="1" w:tplc="220EE4EE">
      <w:start w:val="1"/>
      <w:numFmt w:val="taiwaneseCountingThousand"/>
      <w:lvlText w:val="(%2)"/>
      <w:lvlJc w:val="left"/>
      <w:pPr>
        <w:ind w:left="960" w:hanging="480"/>
      </w:pPr>
      <w:rPr>
        <w:rFonts w:ascii="標楷體" w:eastAsia="標楷體" w:hAnsi="標楷體" w:hint="default"/>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5D6272"/>
    <w:multiLevelType w:val="hybridMultilevel"/>
    <w:tmpl w:val="89F86FA0"/>
    <w:lvl w:ilvl="0" w:tplc="0409000F">
      <w:start w:val="1"/>
      <w:numFmt w:val="decimal"/>
      <w:lvlText w:val="%1."/>
      <w:lvlJc w:val="left"/>
      <w:pPr>
        <w:ind w:left="1481" w:hanging="480"/>
      </w:p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4" w15:restartNumberingAfterBreak="0">
    <w:nsid w:val="7F2E67A4"/>
    <w:multiLevelType w:val="hybridMultilevel"/>
    <w:tmpl w:val="CB16CA1E"/>
    <w:lvl w:ilvl="0" w:tplc="7BBE83B2">
      <w:start w:val="1"/>
      <w:numFmt w:val="taiwaneseCountingThousand"/>
      <w:suff w:val="nothing"/>
      <w:lvlText w:val="(%1)"/>
      <w:lvlJc w:val="left"/>
      <w:pPr>
        <w:ind w:left="1047" w:hanging="480"/>
      </w:pPr>
      <w:rPr>
        <w:rFonts w:ascii="標楷體" w:eastAsia="標楷體" w:hAnsi="標楷體" w:hint="default"/>
      </w:rPr>
    </w:lvl>
    <w:lvl w:ilvl="1" w:tplc="73C23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8399371">
    <w:abstractNumId w:val="9"/>
  </w:num>
  <w:num w:numId="2" w16cid:durableId="1895506498">
    <w:abstractNumId w:val="3"/>
  </w:num>
  <w:num w:numId="3" w16cid:durableId="231502306">
    <w:abstractNumId w:val="5"/>
  </w:num>
  <w:num w:numId="4" w16cid:durableId="1351251752">
    <w:abstractNumId w:val="12"/>
  </w:num>
  <w:num w:numId="5" w16cid:durableId="926814400">
    <w:abstractNumId w:val="22"/>
  </w:num>
  <w:num w:numId="6" w16cid:durableId="470438416">
    <w:abstractNumId w:val="29"/>
  </w:num>
  <w:num w:numId="7" w16cid:durableId="1104762340">
    <w:abstractNumId w:val="16"/>
  </w:num>
  <w:num w:numId="8" w16cid:durableId="1027217439">
    <w:abstractNumId w:val="20"/>
  </w:num>
  <w:num w:numId="9" w16cid:durableId="1656256261">
    <w:abstractNumId w:val="1"/>
  </w:num>
  <w:num w:numId="10" w16cid:durableId="2142768521">
    <w:abstractNumId w:val="13"/>
  </w:num>
  <w:num w:numId="11" w16cid:durableId="1041055254">
    <w:abstractNumId w:val="4"/>
  </w:num>
  <w:num w:numId="12" w16cid:durableId="143863987">
    <w:abstractNumId w:val="6"/>
  </w:num>
  <w:num w:numId="13" w16cid:durableId="139855353">
    <w:abstractNumId w:val="17"/>
  </w:num>
  <w:num w:numId="14" w16cid:durableId="1003632949">
    <w:abstractNumId w:val="7"/>
  </w:num>
  <w:num w:numId="15" w16cid:durableId="533999714">
    <w:abstractNumId w:val="34"/>
  </w:num>
  <w:num w:numId="16" w16cid:durableId="1698463734">
    <w:abstractNumId w:val="8"/>
  </w:num>
  <w:num w:numId="17" w16cid:durableId="121460676">
    <w:abstractNumId w:val="30"/>
  </w:num>
  <w:num w:numId="18" w16cid:durableId="1017191554">
    <w:abstractNumId w:val="19"/>
  </w:num>
  <w:num w:numId="19" w16cid:durableId="384136823">
    <w:abstractNumId w:val="14"/>
  </w:num>
  <w:num w:numId="20" w16cid:durableId="645086899">
    <w:abstractNumId w:val="15"/>
  </w:num>
  <w:num w:numId="21" w16cid:durableId="1661885350">
    <w:abstractNumId w:val="33"/>
  </w:num>
  <w:num w:numId="22" w16cid:durableId="1536311500">
    <w:abstractNumId w:val="27"/>
  </w:num>
  <w:num w:numId="23" w16cid:durableId="1431125816">
    <w:abstractNumId w:val="18"/>
  </w:num>
  <w:num w:numId="24" w16cid:durableId="541333290">
    <w:abstractNumId w:val="10"/>
  </w:num>
  <w:num w:numId="25" w16cid:durableId="800154172">
    <w:abstractNumId w:val="28"/>
  </w:num>
  <w:num w:numId="26" w16cid:durableId="105663956">
    <w:abstractNumId w:val="11"/>
  </w:num>
  <w:num w:numId="27" w16cid:durableId="2127966716">
    <w:abstractNumId w:val="32"/>
  </w:num>
  <w:num w:numId="28" w16cid:durableId="36049686">
    <w:abstractNumId w:val="31"/>
  </w:num>
  <w:num w:numId="29" w16cid:durableId="646594577">
    <w:abstractNumId w:val="23"/>
  </w:num>
  <w:num w:numId="30" w16cid:durableId="799957400">
    <w:abstractNumId w:val="2"/>
  </w:num>
  <w:num w:numId="31" w16cid:durableId="903220918">
    <w:abstractNumId w:val="24"/>
  </w:num>
  <w:num w:numId="32" w16cid:durableId="1738358027">
    <w:abstractNumId w:val="0"/>
  </w:num>
  <w:num w:numId="33" w16cid:durableId="506864806">
    <w:abstractNumId w:val="25"/>
  </w:num>
  <w:num w:numId="34" w16cid:durableId="626474612">
    <w:abstractNumId w:val="26"/>
  </w:num>
  <w:num w:numId="35" w16cid:durableId="1165511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36"/>
    <w:rsid w:val="004D5192"/>
    <w:rsid w:val="005A2576"/>
    <w:rsid w:val="007B3FF0"/>
    <w:rsid w:val="007B7C94"/>
    <w:rsid w:val="00A85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4093"/>
  <w15:chartTrackingRefBased/>
  <w15:docId w15:val="{318FCE5D-513A-4F60-B815-D50C235A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二),卑南壹,標題一,List Paragraph,詳細說明,Footnote Sam,List Paragraph (numbered (a)),Text,Noise heading,RUS List,Rec para,Dot pt,F5 List Paragraph,No Spacing1,List Paragraph Char Char Char,Indicator Text,Numbered Para 1,Recommendation,numbered,L,表名,內文標題,DH1"/>
    <w:basedOn w:val="a"/>
    <w:link w:val="a4"/>
    <w:uiPriority w:val="34"/>
    <w:qFormat/>
    <w:rsid w:val="00A85A36"/>
    <w:pPr>
      <w:ind w:leftChars="200" w:left="480"/>
    </w:pPr>
  </w:style>
  <w:style w:type="character" w:customStyle="1" w:styleId="a4">
    <w:name w:val="清單段落 字元"/>
    <w:aliases w:val="(二) 字元,卑南壹 字元,標題一 字元,List Paragraph 字元,詳細說明 字元,Footnote Sam 字元,List Paragraph (numbered (a)) 字元,Text 字元,Noise heading 字元,RUS List 字元,Rec para 字元,Dot pt 字元,F5 List Paragraph 字元,No Spacing1 字元,List Paragraph Char Char Char 字元,Indicator Text 字元"/>
    <w:link w:val="a3"/>
    <w:uiPriority w:val="34"/>
    <w:qFormat/>
    <w:locked/>
    <w:rsid w:val="00A85A36"/>
  </w:style>
  <w:style w:type="paragraph" w:customStyle="1" w:styleId="1">
    <w:name w:val="清單段落1"/>
    <w:basedOn w:val="a"/>
    <w:rsid w:val="00A85A36"/>
    <w:pPr>
      <w:ind w:leftChars="200" w:left="480"/>
    </w:pPr>
    <w:rPr>
      <w:rFonts w:ascii="Calibri" w:eastAsia="新細明體" w:hAnsi="Calibri" w:cs="Calibri"/>
      <w:szCs w:val="24"/>
    </w:rPr>
  </w:style>
  <w:style w:type="paragraph" w:customStyle="1" w:styleId="2">
    <w:name w:val="清單段落2"/>
    <w:basedOn w:val="a"/>
    <w:link w:val="20"/>
    <w:rsid w:val="00A85A36"/>
    <w:pPr>
      <w:ind w:leftChars="200" w:left="480"/>
    </w:pPr>
    <w:rPr>
      <w:rFonts w:ascii="Times New Roman" w:eastAsia="新細明體" w:hAnsi="Times New Roman" w:cs="Times New Roman"/>
      <w:szCs w:val="24"/>
    </w:rPr>
  </w:style>
  <w:style w:type="paragraph" w:customStyle="1" w:styleId="Default">
    <w:name w:val="Default"/>
    <w:rsid w:val="00A85A36"/>
    <w:pPr>
      <w:widowControl w:val="0"/>
      <w:autoSpaceDE w:val="0"/>
      <w:autoSpaceDN w:val="0"/>
      <w:adjustRightInd w:val="0"/>
    </w:pPr>
    <w:rPr>
      <w:rFonts w:ascii="標楷體" w:hAnsi="標楷體" w:cs="標楷體"/>
      <w:color w:val="000000"/>
      <w:kern w:val="0"/>
      <w:szCs w:val="24"/>
    </w:rPr>
  </w:style>
  <w:style w:type="character" w:customStyle="1" w:styleId="20">
    <w:name w:val="清單段落2 字元"/>
    <w:basedOn w:val="a0"/>
    <w:link w:val="2"/>
    <w:rsid w:val="00A85A3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蔡宜澄</dc:creator>
  <cp:keywords/>
  <dc:description/>
  <cp:lastModifiedBy>崇緯 溫</cp:lastModifiedBy>
  <cp:revision>2</cp:revision>
  <dcterms:created xsi:type="dcterms:W3CDTF">2024-07-19T06:13:00Z</dcterms:created>
  <dcterms:modified xsi:type="dcterms:W3CDTF">2024-07-19T06:13:00Z</dcterms:modified>
</cp:coreProperties>
</file>