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97" w:rsidRPr="00136E7C" w:rsidRDefault="00802597" w:rsidP="00FC1DA1">
      <w:pPr>
        <w:pStyle w:val="1"/>
        <w:ind w:left="0"/>
        <w:rPr>
          <w:rFonts w:ascii="標楷體" w:eastAsia="標楷體" w:hAnsi="標楷體"/>
          <w:b/>
        </w:rPr>
      </w:pPr>
      <w:r w:rsidRPr="00136E7C">
        <w:rPr>
          <w:rFonts w:ascii="標楷體" w:eastAsia="標楷體" w:hAnsi="標楷體"/>
          <w:b/>
        </w:rPr>
        <w:t>變更觀音(草</w:t>
      </w:r>
      <w:proofErr w:type="gramStart"/>
      <w:r w:rsidRPr="00136E7C">
        <w:rPr>
          <w:rFonts w:ascii="標楷體" w:eastAsia="標楷體" w:hAnsi="標楷體"/>
          <w:b/>
        </w:rPr>
        <w:t>漯</w:t>
      </w:r>
      <w:proofErr w:type="gramEnd"/>
      <w:r w:rsidRPr="00136E7C">
        <w:rPr>
          <w:rFonts w:ascii="標楷體" w:eastAsia="標楷體" w:hAnsi="標楷體"/>
          <w:b/>
        </w:rPr>
        <w:t>地區)都市計畫(第二次通盤檢討)(第二階段重劃地區第一區整體開發單元)</w:t>
      </w:r>
    </w:p>
    <w:p w:rsidR="00BD426B" w:rsidRPr="00136E7C" w:rsidRDefault="00BB3BEC">
      <w:pPr>
        <w:pStyle w:val="1"/>
        <w:rPr>
          <w:rFonts w:ascii="標楷體" w:eastAsia="標楷體" w:hAnsi="標楷體"/>
          <w:b/>
        </w:rPr>
      </w:pPr>
      <w:r w:rsidRPr="00136E7C">
        <w:rPr>
          <w:rFonts w:ascii="標楷體" w:eastAsia="標楷體" w:hAnsi="標楷體"/>
          <w:b/>
        </w:rPr>
        <w:t>土地使用分區管制</w:t>
      </w:r>
    </w:p>
    <w:p w:rsidR="00BD426B" w:rsidRPr="001A6162" w:rsidRDefault="00BB3BEC">
      <w:pPr>
        <w:pStyle w:val="a3"/>
        <w:spacing w:before="28" w:line="184" w:lineRule="auto"/>
        <w:ind w:right="973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  <w:spacing w:val="1"/>
        </w:rPr>
        <w:t xml:space="preserve">第一點 本要點依據都市計畫法第 </w:t>
      </w:r>
      <w:r w:rsidRPr="001A6162">
        <w:rPr>
          <w:rFonts w:ascii="標楷體" w:eastAsia="標楷體" w:hAnsi="標楷體"/>
        </w:rPr>
        <w:t>22</w:t>
      </w:r>
      <w:r w:rsidRPr="001A6162">
        <w:rPr>
          <w:rFonts w:ascii="標楷體" w:eastAsia="標楷體" w:hAnsi="標楷體"/>
          <w:spacing w:val="-13"/>
        </w:rPr>
        <w:t xml:space="preserve"> 條及同法台灣省施行細則第</w:t>
      </w:r>
      <w:r w:rsidRPr="001A6162">
        <w:rPr>
          <w:rFonts w:ascii="標楷體" w:eastAsia="標楷體" w:hAnsi="標楷體"/>
        </w:rPr>
        <w:t>35</w:t>
      </w:r>
      <w:r w:rsidRPr="001A6162">
        <w:rPr>
          <w:rFonts w:ascii="標楷體" w:eastAsia="標楷體" w:hAnsi="標楷體"/>
          <w:spacing w:val="-32"/>
        </w:rPr>
        <w:t xml:space="preserve"> 條之規定訂定之。</w:t>
      </w:r>
    </w:p>
    <w:p w:rsidR="00BD426B" w:rsidRPr="001A6162" w:rsidRDefault="00BB3BEC">
      <w:pPr>
        <w:pStyle w:val="a3"/>
        <w:spacing w:line="184" w:lineRule="auto"/>
        <w:ind w:right="902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  <w:spacing w:val="-2"/>
        </w:rPr>
        <w:t xml:space="preserve">第二點 第二種住宅區，屬重劃區內之住宅區，建蔽率不得大於 </w:t>
      </w:r>
      <w:r w:rsidRPr="001A6162">
        <w:rPr>
          <w:rFonts w:ascii="標楷體" w:eastAsia="標楷體" w:hAnsi="標楷體"/>
        </w:rPr>
        <w:t xml:space="preserve">50％， </w:t>
      </w:r>
      <w:r w:rsidRPr="001A6162">
        <w:rPr>
          <w:rFonts w:ascii="標楷體" w:eastAsia="標楷體" w:hAnsi="標楷體"/>
          <w:spacing w:val="-9"/>
        </w:rPr>
        <w:t xml:space="preserve">容積率不得大於 </w:t>
      </w:r>
      <w:r w:rsidRPr="001A6162">
        <w:rPr>
          <w:rFonts w:ascii="標楷體" w:eastAsia="標楷體" w:hAnsi="標楷體"/>
        </w:rPr>
        <w:t>180％。</w:t>
      </w:r>
    </w:p>
    <w:p w:rsidR="00BD426B" w:rsidRPr="001A6162" w:rsidRDefault="00BB3BEC">
      <w:pPr>
        <w:pStyle w:val="a3"/>
        <w:spacing w:line="184" w:lineRule="auto"/>
        <w:ind w:right="902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  <w:spacing w:val="-2"/>
        </w:rPr>
        <w:t xml:space="preserve">第三點 第二種商業區，屬重劃區內之商業區，建蔽率不得大於 </w:t>
      </w:r>
      <w:r w:rsidRPr="001A6162">
        <w:rPr>
          <w:rFonts w:ascii="標楷體" w:eastAsia="標楷體" w:hAnsi="標楷體"/>
        </w:rPr>
        <w:t xml:space="preserve">80％， </w:t>
      </w:r>
      <w:r w:rsidRPr="001A6162">
        <w:rPr>
          <w:rFonts w:ascii="標楷體" w:eastAsia="標楷體" w:hAnsi="標楷體"/>
          <w:spacing w:val="-9"/>
        </w:rPr>
        <w:t xml:space="preserve">容積率不得大於 </w:t>
      </w:r>
      <w:r w:rsidRPr="001A6162">
        <w:rPr>
          <w:rFonts w:ascii="標楷體" w:eastAsia="標楷體" w:hAnsi="標楷體"/>
        </w:rPr>
        <w:t>240％。</w:t>
      </w:r>
    </w:p>
    <w:p w:rsidR="00BD426B" w:rsidRPr="001A6162" w:rsidRDefault="00BB3BEC">
      <w:pPr>
        <w:pStyle w:val="a3"/>
        <w:spacing w:line="184" w:lineRule="auto"/>
        <w:ind w:right="907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  <w:noProof/>
        </w:rPr>
        <w:drawing>
          <wp:anchor distT="0" distB="0" distL="0" distR="0" simplePos="0" relativeHeight="487159296" behindDoc="1" locked="0" layoutInCell="1" allowOverlap="1" wp14:anchorId="2C900D5D" wp14:editId="2D5D7FEE">
            <wp:simplePos x="0" y="0"/>
            <wp:positionH relativeFrom="page">
              <wp:posOffset>2253614</wp:posOffset>
            </wp:positionH>
            <wp:positionV relativeFrom="paragraph">
              <wp:posOffset>942776</wp:posOffset>
            </wp:positionV>
            <wp:extent cx="82550" cy="139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162">
        <w:rPr>
          <w:rFonts w:ascii="標楷體" w:eastAsia="標楷體" w:hAnsi="標楷體"/>
        </w:rPr>
        <w:t>第四點 環保設施專用區以供垃圾分類廠、轉運站、資源回收站及事業</w:t>
      </w:r>
      <w:r w:rsidRPr="001A6162">
        <w:rPr>
          <w:rFonts w:ascii="標楷體" w:eastAsia="標楷體" w:hAnsi="標楷體"/>
          <w:spacing w:val="-14"/>
        </w:rPr>
        <w:t xml:space="preserve">廢棄物處理設施使用，且應自基地境界線退縮十公尺以上建築， </w:t>
      </w:r>
      <w:r w:rsidRPr="001A6162">
        <w:rPr>
          <w:rFonts w:ascii="標楷體" w:eastAsia="標楷體" w:hAnsi="標楷體"/>
        </w:rPr>
        <w:t>並於退縮地綠化或設置人行步道與景觀設施，其建蔽率不得大</w:t>
      </w:r>
      <w:r w:rsidRPr="001A6162">
        <w:rPr>
          <w:rFonts w:ascii="標楷體" w:eastAsia="標楷體" w:hAnsi="標楷體"/>
          <w:position w:val="2"/>
        </w:rPr>
        <w:t>於</w:t>
      </w:r>
      <w:r w:rsidRPr="001A6162">
        <w:rPr>
          <w:rFonts w:ascii="標楷體" w:eastAsia="標楷體" w:hAnsi="標楷體"/>
          <w:spacing w:val="-71"/>
          <w:position w:val="2"/>
        </w:rPr>
        <w:t xml:space="preserve"> </w:t>
      </w:r>
      <w:r w:rsidRPr="001A6162">
        <w:rPr>
          <w:rFonts w:ascii="標楷體" w:eastAsia="標楷體" w:hAnsi="標楷體"/>
          <w:position w:val="2"/>
        </w:rPr>
        <w:t>40，容積率不得大於</w:t>
      </w:r>
      <w:r w:rsidRPr="001A6162">
        <w:rPr>
          <w:rFonts w:ascii="標楷體" w:eastAsia="標楷體" w:hAnsi="標楷體"/>
          <w:spacing w:val="-70"/>
          <w:position w:val="2"/>
        </w:rPr>
        <w:t xml:space="preserve"> </w:t>
      </w:r>
      <w:r w:rsidRPr="001A6162">
        <w:rPr>
          <w:rFonts w:ascii="標楷體" w:eastAsia="標楷體" w:hAnsi="標楷體"/>
          <w:position w:val="2"/>
        </w:rPr>
        <w:t>60</w:t>
      </w:r>
      <w:r w:rsidRPr="001A6162">
        <w:rPr>
          <w:rFonts w:ascii="標楷體" w:eastAsia="標楷體" w:hAnsi="標楷體"/>
          <w:noProof/>
          <w:spacing w:val="4"/>
          <w:w w:val="99"/>
        </w:rPr>
        <w:drawing>
          <wp:inline distT="0" distB="0" distL="0" distR="0" wp14:anchorId="77018A73" wp14:editId="11295870">
            <wp:extent cx="82550" cy="1397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162">
        <w:rPr>
          <w:rFonts w:ascii="標楷體" w:eastAsia="標楷體" w:hAnsi="標楷體"/>
          <w:position w:val="2"/>
        </w:rPr>
        <w:t>。</w:t>
      </w:r>
    </w:p>
    <w:p w:rsidR="00BD426B" w:rsidRPr="001A6162" w:rsidRDefault="00BB3BEC">
      <w:pPr>
        <w:pStyle w:val="a3"/>
        <w:spacing w:line="184" w:lineRule="auto"/>
        <w:ind w:right="974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第五點 學校用地國中以下者，建蔽率不得大於 50％，容積率不得大於150％。</w:t>
      </w:r>
    </w:p>
    <w:p w:rsidR="00BD426B" w:rsidRPr="001A6162" w:rsidRDefault="00BB3BEC">
      <w:pPr>
        <w:pStyle w:val="a3"/>
        <w:spacing w:line="426" w:lineRule="exact"/>
        <w:ind w:left="898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第六點 零售市場用地之建蔽率不得大於</w:t>
      </w:r>
      <w:bookmarkStart w:id="0" w:name="_GoBack"/>
      <w:bookmarkEnd w:id="0"/>
      <w:r w:rsidRPr="001A6162">
        <w:rPr>
          <w:rFonts w:ascii="標楷體" w:eastAsia="標楷體" w:hAnsi="標楷體"/>
        </w:rPr>
        <w:t>60％，容積率不得大於240</w:t>
      </w:r>
    </w:p>
    <w:p w:rsidR="00BD426B" w:rsidRPr="001A6162" w:rsidRDefault="00BB3BEC">
      <w:pPr>
        <w:pStyle w:val="a3"/>
        <w:spacing w:line="456" w:lineRule="exact"/>
        <w:jc w:val="left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％。</w:t>
      </w:r>
    </w:p>
    <w:p w:rsidR="00BD426B" w:rsidRPr="001A6162" w:rsidRDefault="00BB3BEC">
      <w:pPr>
        <w:pStyle w:val="a3"/>
        <w:spacing w:before="8" w:line="184" w:lineRule="auto"/>
        <w:ind w:right="979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第七點 本計畫區內之公共設施用地，得依「都市計畫公共設施用地多目標使用辦法」有關規定，從事多目標使用，但需配合計畫區之實際發展需要，優先提供停車場設施。</w:t>
      </w:r>
    </w:p>
    <w:p w:rsidR="00BD426B" w:rsidRPr="001A6162" w:rsidRDefault="00BB3BEC">
      <w:pPr>
        <w:pStyle w:val="a3"/>
        <w:spacing w:line="184" w:lineRule="auto"/>
        <w:ind w:right="975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第八點 建築基地(環保設施專用區除外)應自道路境界線退縮四公尺建築，退縮部分應自道路境界線留設</w:t>
      </w:r>
      <w:proofErr w:type="gramStart"/>
      <w:r w:rsidRPr="001A6162">
        <w:rPr>
          <w:rFonts w:ascii="標楷體" w:eastAsia="標楷體" w:hAnsi="標楷體"/>
        </w:rPr>
        <w:t>二公尺寬人行</w:t>
      </w:r>
      <w:proofErr w:type="gramEnd"/>
      <w:r w:rsidRPr="001A6162">
        <w:rPr>
          <w:rFonts w:ascii="標楷體" w:eastAsia="標楷體" w:hAnsi="標楷體"/>
        </w:rPr>
        <w:t>步道，其餘部分應植栽綠化，退縮部分得計入法定空地。但基地情形特殊經提桃園市都市設計審議委員會審查同意者，從其規定。</w:t>
      </w:r>
    </w:p>
    <w:p w:rsidR="00BD426B" w:rsidRPr="001A6162" w:rsidRDefault="00BB3BEC">
      <w:pPr>
        <w:pStyle w:val="a3"/>
        <w:spacing w:line="184" w:lineRule="auto"/>
        <w:ind w:right="974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第九點 住宅區及商業區之建築基地於申請建築時，其建築樓地板面積</w:t>
      </w:r>
      <w:r w:rsidRPr="001A6162">
        <w:rPr>
          <w:rFonts w:ascii="標楷體" w:eastAsia="標楷體" w:hAnsi="標楷體"/>
          <w:spacing w:val="-37"/>
        </w:rPr>
        <w:t xml:space="preserve">在 </w:t>
      </w:r>
      <w:r w:rsidRPr="001A6162">
        <w:rPr>
          <w:rFonts w:ascii="標楷體" w:eastAsia="標楷體" w:hAnsi="標楷體"/>
        </w:rPr>
        <w:t>250</w:t>
      </w:r>
      <w:r w:rsidRPr="001A6162">
        <w:rPr>
          <w:rFonts w:ascii="標楷體" w:eastAsia="標楷體" w:hAnsi="標楷體"/>
          <w:spacing w:val="-21"/>
        </w:rPr>
        <w:t xml:space="preserve"> 平方公尺以下者，應留設一部停車空間，超過部分每 </w:t>
      </w:r>
      <w:r w:rsidRPr="001A6162">
        <w:rPr>
          <w:rFonts w:ascii="標楷體" w:eastAsia="標楷體" w:hAnsi="標楷體"/>
        </w:rPr>
        <w:t>150 平方公尺應增設一部停車空間。</w:t>
      </w:r>
    </w:p>
    <w:p w:rsidR="00BD426B" w:rsidRPr="001A6162" w:rsidRDefault="00BB3BEC">
      <w:pPr>
        <w:pStyle w:val="a3"/>
        <w:spacing w:line="184" w:lineRule="auto"/>
        <w:ind w:right="975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第十點 本計畫區開發面積大於 1,000 平方公尺，應於發照前經「桃園市都市設計審議委員會」審議通過後，始得核發建造執照，變更建造執照時亦同，但未變更外觀、建築配置及建築面積者不在此限。桃園市都市設計審議委員會必要時得依本管制要點精神</w:t>
      </w:r>
      <w:proofErr w:type="gramStart"/>
      <w:r w:rsidRPr="001A6162">
        <w:rPr>
          <w:rFonts w:ascii="標楷體" w:eastAsia="標楷體" w:hAnsi="標楷體"/>
        </w:rPr>
        <w:t>另訂詳確</w:t>
      </w:r>
      <w:proofErr w:type="gramEnd"/>
      <w:r w:rsidRPr="001A6162">
        <w:rPr>
          <w:rFonts w:ascii="標楷體" w:eastAsia="標楷體" w:hAnsi="標楷體"/>
        </w:rPr>
        <w:t>之都市設計管制事項，以為審議時之依據。</w:t>
      </w:r>
    </w:p>
    <w:p w:rsidR="00BD426B" w:rsidRPr="001A6162" w:rsidRDefault="00BB3BEC">
      <w:pPr>
        <w:pStyle w:val="a3"/>
        <w:spacing w:line="184" w:lineRule="auto"/>
        <w:ind w:right="972" w:hanging="1135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第十一點 建築基地內法定空地之 1/2 應予植栽綠化外，並至少每 25 平方公尺種植原生喬木一棵，其樹型應完整，樹</w:t>
      </w:r>
      <w:proofErr w:type="gramStart"/>
      <w:r w:rsidRPr="001A6162">
        <w:rPr>
          <w:rFonts w:ascii="標楷體" w:eastAsia="標楷體" w:hAnsi="標楷體"/>
        </w:rPr>
        <w:t>冠底離地淨</w:t>
      </w:r>
      <w:proofErr w:type="gramEnd"/>
      <w:r w:rsidRPr="001A6162">
        <w:rPr>
          <w:rFonts w:ascii="標楷體" w:eastAsia="標楷體" w:hAnsi="標楷體"/>
        </w:rPr>
        <w:t>高應大於 2 公尺。</w:t>
      </w:r>
    </w:p>
    <w:p w:rsidR="00BD426B" w:rsidRPr="001A6162" w:rsidRDefault="00BB3BEC">
      <w:pPr>
        <w:pStyle w:val="a3"/>
        <w:spacing w:line="493" w:lineRule="exact"/>
        <w:ind w:left="898"/>
        <w:rPr>
          <w:rFonts w:ascii="標楷體" w:eastAsia="標楷體" w:hAnsi="標楷體"/>
        </w:rPr>
      </w:pPr>
      <w:r w:rsidRPr="001A6162">
        <w:rPr>
          <w:rFonts w:ascii="標楷體" w:eastAsia="標楷體" w:hAnsi="標楷體"/>
        </w:rPr>
        <w:t>第十二點 本要點未規定事項，應依其他相關法令辦理。</w:t>
      </w:r>
    </w:p>
    <w:p w:rsidR="00BB3BEC" w:rsidRPr="001A6162" w:rsidRDefault="00BB3BEC" w:rsidP="001A6162">
      <w:pPr>
        <w:pStyle w:val="2"/>
        <w:ind w:left="0"/>
        <w:rPr>
          <w:rFonts w:ascii="標楷體" w:eastAsia="標楷體" w:hAnsi="標楷體"/>
        </w:rPr>
      </w:pPr>
    </w:p>
    <w:sectPr w:rsidR="00BB3BEC" w:rsidRPr="001A6162" w:rsidSect="00FC1DA1">
      <w:footerReference w:type="default" r:id="rId9"/>
      <w:pgSz w:w="11910" w:h="16840"/>
      <w:pgMar w:top="1440" w:right="1080" w:bottom="1440" w:left="1080" w:header="0" w:footer="1091" w:gutter="0"/>
      <w:pgNumType w:start="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EC" w:rsidRDefault="00BB3BEC">
      <w:r>
        <w:separator/>
      </w:r>
    </w:p>
  </w:endnote>
  <w:endnote w:type="continuationSeparator" w:id="0">
    <w:p w:rsidR="00BB3BEC" w:rsidRDefault="00B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6B" w:rsidRDefault="00FC1DA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pt;margin-top:772.45pt;width:18.75pt;height:13.1pt;z-index:-251658752;mso-position-horizontal-relative:page;mso-position-vertical-relative:page" filled="f" stroked="f">
          <v:textbox inset="0,0,0,0">
            <w:txbxContent>
              <w:p w:rsidR="00BD426B" w:rsidRDefault="00BB3BEC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1DA1">
                  <w:rPr>
                    <w:rFonts w:ascii="Times New Roman"/>
                    <w:noProof/>
                    <w:sz w:val="20"/>
                  </w:rPr>
                  <w:t>47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EC" w:rsidRDefault="00BB3BEC">
      <w:r>
        <w:separator/>
      </w:r>
    </w:p>
  </w:footnote>
  <w:footnote w:type="continuationSeparator" w:id="0">
    <w:p w:rsidR="00BB3BEC" w:rsidRDefault="00BB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8A9"/>
    <w:multiLevelType w:val="hybridMultilevel"/>
    <w:tmpl w:val="E7763516"/>
    <w:lvl w:ilvl="0" w:tplc="DBD65D06">
      <w:start w:val="1"/>
      <w:numFmt w:val="decimal"/>
      <w:lvlText w:val="%1."/>
      <w:lvlJc w:val="left"/>
      <w:pPr>
        <w:ind w:left="29" w:hanging="242"/>
        <w:jc w:val="left"/>
      </w:pPr>
      <w:rPr>
        <w:rFonts w:ascii="Noto Sans Mono CJK JP Bold" w:eastAsia="Noto Sans Mono CJK JP Bold" w:hAnsi="Noto Sans Mono CJK JP Bold" w:cs="Noto Sans Mono CJK JP Bold" w:hint="default"/>
        <w:spacing w:val="-120"/>
        <w:w w:val="100"/>
        <w:sz w:val="22"/>
        <w:szCs w:val="22"/>
        <w:lang w:val="en-US" w:eastAsia="zh-TW" w:bidi="ar-SA"/>
      </w:rPr>
    </w:lvl>
    <w:lvl w:ilvl="1" w:tplc="3AFC5F4A">
      <w:numFmt w:val="bullet"/>
      <w:lvlText w:val="•"/>
      <w:lvlJc w:val="left"/>
      <w:pPr>
        <w:ind w:left="323" w:hanging="242"/>
      </w:pPr>
      <w:rPr>
        <w:rFonts w:hint="default"/>
        <w:lang w:val="en-US" w:eastAsia="zh-TW" w:bidi="ar-SA"/>
      </w:rPr>
    </w:lvl>
    <w:lvl w:ilvl="2" w:tplc="2182CCDC">
      <w:numFmt w:val="bullet"/>
      <w:lvlText w:val="•"/>
      <w:lvlJc w:val="left"/>
      <w:pPr>
        <w:ind w:left="626" w:hanging="242"/>
      </w:pPr>
      <w:rPr>
        <w:rFonts w:hint="default"/>
        <w:lang w:val="en-US" w:eastAsia="zh-TW" w:bidi="ar-SA"/>
      </w:rPr>
    </w:lvl>
    <w:lvl w:ilvl="3" w:tplc="B6902A1E">
      <w:numFmt w:val="bullet"/>
      <w:lvlText w:val="•"/>
      <w:lvlJc w:val="left"/>
      <w:pPr>
        <w:ind w:left="929" w:hanging="242"/>
      </w:pPr>
      <w:rPr>
        <w:rFonts w:hint="default"/>
        <w:lang w:val="en-US" w:eastAsia="zh-TW" w:bidi="ar-SA"/>
      </w:rPr>
    </w:lvl>
    <w:lvl w:ilvl="4" w:tplc="3AA67C70">
      <w:numFmt w:val="bullet"/>
      <w:lvlText w:val="•"/>
      <w:lvlJc w:val="left"/>
      <w:pPr>
        <w:ind w:left="1232" w:hanging="242"/>
      </w:pPr>
      <w:rPr>
        <w:rFonts w:hint="default"/>
        <w:lang w:val="en-US" w:eastAsia="zh-TW" w:bidi="ar-SA"/>
      </w:rPr>
    </w:lvl>
    <w:lvl w:ilvl="5" w:tplc="5D90F8AE">
      <w:numFmt w:val="bullet"/>
      <w:lvlText w:val="•"/>
      <w:lvlJc w:val="left"/>
      <w:pPr>
        <w:ind w:left="1535" w:hanging="242"/>
      </w:pPr>
      <w:rPr>
        <w:rFonts w:hint="default"/>
        <w:lang w:val="en-US" w:eastAsia="zh-TW" w:bidi="ar-SA"/>
      </w:rPr>
    </w:lvl>
    <w:lvl w:ilvl="6" w:tplc="F42CC526">
      <w:numFmt w:val="bullet"/>
      <w:lvlText w:val="•"/>
      <w:lvlJc w:val="left"/>
      <w:pPr>
        <w:ind w:left="1838" w:hanging="242"/>
      </w:pPr>
      <w:rPr>
        <w:rFonts w:hint="default"/>
        <w:lang w:val="en-US" w:eastAsia="zh-TW" w:bidi="ar-SA"/>
      </w:rPr>
    </w:lvl>
    <w:lvl w:ilvl="7" w:tplc="FDF8C2FC">
      <w:numFmt w:val="bullet"/>
      <w:lvlText w:val="•"/>
      <w:lvlJc w:val="left"/>
      <w:pPr>
        <w:ind w:left="2141" w:hanging="242"/>
      </w:pPr>
      <w:rPr>
        <w:rFonts w:hint="default"/>
        <w:lang w:val="en-US" w:eastAsia="zh-TW" w:bidi="ar-SA"/>
      </w:rPr>
    </w:lvl>
    <w:lvl w:ilvl="8" w:tplc="BE206944">
      <w:numFmt w:val="bullet"/>
      <w:lvlText w:val="•"/>
      <w:lvlJc w:val="left"/>
      <w:pPr>
        <w:ind w:left="2444" w:hanging="242"/>
      </w:pPr>
      <w:rPr>
        <w:rFonts w:hint="default"/>
        <w:lang w:val="en-US" w:eastAsia="zh-TW" w:bidi="ar-SA"/>
      </w:rPr>
    </w:lvl>
  </w:abstractNum>
  <w:abstractNum w:abstractNumId="1">
    <w:nsid w:val="59486C9F"/>
    <w:multiLevelType w:val="hybridMultilevel"/>
    <w:tmpl w:val="C37847B2"/>
    <w:lvl w:ilvl="0" w:tplc="09F6611C">
      <w:start w:val="1"/>
      <w:numFmt w:val="decimal"/>
      <w:lvlText w:val="%1."/>
      <w:lvlJc w:val="left"/>
      <w:pPr>
        <w:ind w:left="27" w:hanging="221"/>
        <w:jc w:val="left"/>
      </w:pPr>
      <w:rPr>
        <w:rFonts w:ascii="Noto Sans Mono CJK JP Bold" w:eastAsia="Noto Sans Mono CJK JP Bold" w:hAnsi="Noto Sans Mono CJK JP Bold" w:cs="Noto Sans Mono CJK JP Bold" w:hint="default"/>
        <w:spacing w:val="-70"/>
        <w:w w:val="99"/>
        <w:sz w:val="20"/>
        <w:szCs w:val="20"/>
        <w:lang w:val="en-US" w:eastAsia="zh-TW" w:bidi="ar-SA"/>
      </w:rPr>
    </w:lvl>
    <w:lvl w:ilvl="1" w:tplc="D1345B36">
      <w:numFmt w:val="bullet"/>
      <w:lvlText w:val="•"/>
      <w:lvlJc w:val="left"/>
      <w:pPr>
        <w:ind w:left="323" w:hanging="221"/>
      </w:pPr>
      <w:rPr>
        <w:rFonts w:hint="default"/>
        <w:lang w:val="en-US" w:eastAsia="zh-TW" w:bidi="ar-SA"/>
      </w:rPr>
    </w:lvl>
    <w:lvl w:ilvl="2" w:tplc="BD50512E">
      <w:numFmt w:val="bullet"/>
      <w:lvlText w:val="•"/>
      <w:lvlJc w:val="left"/>
      <w:pPr>
        <w:ind w:left="626" w:hanging="221"/>
      </w:pPr>
      <w:rPr>
        <w:rFonts w:hint="default"/>
        <w:lang w:val="en-US" w:eastAsia="zh-TW" w:bidi="ar-SA"/>
      </w:rPr>
    </w:lvl>
    <w:lvl w:ilvl="3" w:tplc="CCCE98BA">
      <w:numFmt w:val="bullet"/>
      <w:lvlText w:val="•"/>
      <w:lvlJc w:val="left"/>
      <w:pPr>
        <w:ind w:left="929" w:hanging="221"/>
      </w:pPr>
      <w:rPr>
        <w:rFonts w:hint="default"/>
        <w:lang w:val="en-US" w:eastAsia="zh-TW" w:bidi="ar-SA"/>
      </w:rPr>
    </w:lvl>
    <w:lvl w:ilvl="4" w:tplc="91D2B9E6">
      <w:numFmt w:val="bullet"/>
      <w:lvlText w:val="•"/>
      <w:lvlJc w:val="left"/>
      <w:pPr>
        <w:ind w:left="1232" w:hanging="221"/>
      </w:pPr>
      <w:rPr>
        <w:rFonts w:hint="default"/>
        <w:lang w:val="en-US" w:eastAsia="zh-TW" w:bidi="ar-SA"/>
      </w:rPr>
    </w:lvl>
    <w:lvl w:ilvl="5" w:tplc="42E8343C">
      <w:numFmt w:val="bullet"/>
      <w:lvlText w:val="•"/>
      <w:lvlJc w:val="left"/>
      <w:pPr>
        <w:ind w:left="1535" w:hanging="221"/>
      </w:pPr>
      <w:rPr>
        <w:rFonts w:hint="default"/>
        <w:lang w:val="en-US" w:eastAsia="zh-TW" w:bidi="ar-SA"/>
      </w:rPr>
    </w:lvl>
    <w:lvl w:ilvl="6" w:tplc="2E143C3C">
      <w:numFmt w:val="bullet"/>
      <w:lvlText w:val="•"/>
      <w:lvlJc w:val="left"/>
      <w:pPr>
        <w:ind w:left="1838" w:hanging="221"/>
      </w:pPr>
      <w:rPr>
        <w:rFonts w:hint="default"/>
        <w:lang w:val="en-US" w:eastAsia="zh-TW" w:bidi="ar-SA"/>
      </w:rPr>
    </w:lvl>
    <w:lvl w:ilvl="7" w:tplc="3EA6D016">
      <w:numFmt w:val="bullet"/>
      <w:lvlText w:val="•"/>
      <w:lvlJc w:val="left"/>
      <w:pPr>
        <w:ind w:left="2141" w:hanging="221"/>
      </w:pPr>
      <w:rPr>
        <w:rFonts w:hint="default"/>
        <w:lang w:val="en-US" w:eastAsia="zh-TW" w:bidi="ar-SA"/>
      </w:rPr>
    </w:lvl>
    <w:lvl w:ilvl="8" w:tplc="68D8B8CC">
      <w:numFmt w:val="bullet"/>
      <w:lvlText w:val="•"/>
      <w:lvlJc w:val="left"/>
      <w:pPr>
        <w:ind w:left="2444" w:hanging="22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D426B"/>
    <w:rsid w:val="00136E7C"/>
    <w:rsid w:val="001A6162"/>
    <w:rsid w:val="00802597"/>
    <w:rsid w:val="00BB3BEC"/>
    <w:rsid w:val="00BD426B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523" w:lineRule="exact"/>
      <w:ind w:left="55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467" w:lineRule="exact"/>
      <w:ind w:left="366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"/>
    </w:pPr>
  </w:style>
  <w:style w:type="paragraph" w:styleId="a5">
    <w:name w:val="Balloon Text"/>
    <w:basedOn w:val="a"/>
    <w:link w:val="a6"/>
    <w:uiPriority w:val="99"/>
    <w:semiHidden/>
    <w:unhideWhenUsed/>
    <w:rsid w:val="001A6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616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邱庭萱</cp:lastModifiedBy>
  <cp:revision>4</cp:revision>
  <dcterms:created xsi:type="dcterms:W3CDTF">2020-11-25T06:36:00Z</dcterms:created>
  <dcterms:modified xsi:type="dcterms:W3CDTF">2021-01-15T05:53:00Z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PDFsam Basic v3.3.2</vt:lpwstr>
  </property>
  <property fmtid="{D5CDD505-2E9C-101B-9397-08002B2CF9AE}" pid="4" name="LastSaved">
    <vt:filetime>2020-11-25T00:00:00Z</vt:filetime>
  </property>
</Properties>
</file>