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8178"/>
      </w:tblGrid>
      <w:tr w:rsidR="00BC3111" w:rsidRPr="00BC3111" w:rsidTr="00BC3111">
        <w:tc>
          <w:tcPr>
            <w:tcW w:w="0" w:type="auto"/>
            <w:gridSpan w:val="2"/>
            <w:vAlign w:val="center"/>
            <w:hideMark/>
          </w:tcPr>
          <w:p w:rsidR="00BC3111" w:rsidRPr="00BC3111" w:rsidRDefault="00BC3111" w:rsidP="00BC311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BC31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法規名稱：</w:t>
            </w:r>
            <w:r w:rsidRPr="00BC31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hyperlink r:id="rId5" w:history="1">
              <w:r w:rsidRPr="00BC3111">
                <w:rPr>
                  <w:rFonts w:ascii="標楷體" w:eastAsia="標楷體" w:hAnsi="標楷體" w:cs="新細明體"/>
                  <w:b/>
                  <w:color w:val="0000FF"/>
                  <w:kern w:val="0"/>
                  <w:sz w:val="32"/>
                  <w:szCs w:val="32"/>
                  <w:u w:val="single"/>
                </w:rPr>
                <w:t>政風機構預防危害或</w:t>
              </w:r>
              <w:r w:rsidRPr="00BC3111">
                <w:rPr>
                  <w:rFonts w:ascii="標楷體" w:eastAsia="標楷體" w:hAnsi="標楷體" w:cs="新細明體"/>
                  <w:b/>
                  <w:color w:val="0000FF"/>
                  <w:kern w:val="0"/>
                  <w:sz w:val="32"/>
                  <w:szCs w:val="32"/>
                  <w:u w:val="single"/>
                </w:rPr>
                <w:t>破</w:t>
              </w:r>
              <w:r w:rsidRPr="00BC3111">
                <w:rPr>
                  <w:rFonts w:ascii="標楷體" w:eastAsia="標楷體" w:hAnsi="標楷體" w:cs="新細明體"/>
                  <w:b/>
                  <w:color w:val="0000FF"/>
                  <w:kern w:val="0"/>
                  <w:sz w:val="32"/>
                  <w:szCs w:val="32"/>
                  <w:u w:val="single"/>
                </w:rPr>
                <w:t>壞本機關事件作業要點</w:t>
              </w:r>
            </w:hyperlink>
            <w:r w:rsidRPr="00BC31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  <w:p w:rsidR="00BC3111" w:rsidRPr="00BC3111" w:rsidRDefault="00BC3111" w:rsidP="00BC31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新細明體"/>
                <w:kern w:val="0"/>
                <w:szCs w:val="24"/>
              </w:rPr>
              <w:t xml:space="preserve">( 民國 104 年 10 月 19 日 修正 ) </w:t>
            </w:r>
          </w:p>
        </w:tc>
      </w:tr>
      <w:tr w:rsidR="00BC3111" w:rsidRPr="00BC3111" w:rsidTr="00BC3111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BC3111" w:rsidRPr="00BC3111" w:rsidRDefault="00BC3111" w:rsidP="00BC3111">
            <w:pPr>
              <w:widowControl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</w:p>
        </w:tc>
      </w:tr>
      <w:tr w:rsidR="00BC3111" w:rsidRPr="00BC3111" w:rsidTr="00BC3111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BC3111" w:rsidRPr="00BC3111" w:rsidRDefault="00BC3111" w:rsidP="00BC3111">
            <w:pPr>
              <w:widowControl/>
              <w:rPr>
                <w:rFonts w:ascii="標楷體" w:eastAsia="標楷體" w:hAnsi="標楷體" w:cs="新細明體"/>
                <w:vanish/>
                <w:kern w:val="0"/>
                <w:szCs w:val="24"/>
              </w:rPr>
            </w:pPr>
          </w:p>
        </w:tc>
      </w:tr>
      <w:tr w:rsidR="00BC3111" w:rsidRPr="00BC3111" w:rsidTr="00BC3111"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新細明體"/>
                <w:kern w:val="0"/>
                <w:szCs w:val="24"/>
              </w:rPr>
              <w:fldChar w:fldCharType="begin"/>
            </w:r>
            <w:r w:rsidRPr="00BC3111">
              <w:rPr>
                <w:rFonts w:ascii="標楷體" w:eastAsia="標楷體" w:hAnsi="標楷體" w:cs="新細明體"/>
                <w:kern w:val="0"/>
                <w:szCs w:val="24"/>
              </w:rPr>
              <w:instrText xml:space="preserve"> HYPERLINK "http://mojlaw.moj.gov.tw/LawContentExtent.aspx?LawID=FL010673&amp;LawNo=1&amp;ItemID=61280&amp;Amddate=20151019" </w:instrText>
            </w:r>
            <w:r w:rsidRPr="00BC3111">
              <w:rPr>
                <w:rFonts w:ascii="標楷體" w:eastAsia="標楷體" w:hAnsi="標楷體" w:cs="新細明體"/>
                <w:kern w:val="0"/>
                <w:szCs w:val="24"/>
              </w:rPr>
              <w:fldChar w:fldCharType="separate"/>
            </w:r>
            <w:r w:rsidRPr="00BC3111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1</w:t>
            </w:r>
            <w:r w:rsidRPr="00BC3111">
              <w:rPr>
                <w:rFonts w:ascii="標楷體" w:eastAsia="標楷體" w:hAnsi="標楷體" w:cs="新細明體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一、為貫徹執行政風機構人員設置管理條例施行細則第十一條第一款「危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害或破壞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機關事件之預防」規定，特訂定本要點。</w:t>
            </w:r>
          </w:p>
        </w:tc>
      </w:tr>
      <w:tr w:rsidR="00BC3111" w:rsidRPr="00BC3111" w:rsidTr="00BC3111"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6" w:history="1">
              <w:r w:rsidRPr="00BC3111">
                <w:rPr>
                  <w:rFonts w:ascii="標楷體" w:eastAsia="標楷體" w:hAnsi="標楷體" w:cs="新細明體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二、政風機構預防危害或破壞本機關事件，應依本機關之辦公環境、轄區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治安與災害狀況、業務特性及可能發生危安之因素，協調相關單位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採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取預防之因應措施；其具體作法如下：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（一）策訂預防危害或破壞事件實施計畫：詳列工作要項、預防措施及執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行分工等事項，簽奉機關首長核定後，會同相關單位貫徹執行。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（二）召開安全維護會報：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1.依據行政院頒「安全管理手冊」，有關危害及破壞事件之預防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規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定，應組設安全維護會報，由本機關各業務單位主管參加，必要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時得邀集所屬機關派員參加。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2.安全維護會報由副首長或幕僚長主持，負責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研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議有關危害或破壞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本機關事件之預防事項及妥善處理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偶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突發事件，政風機構負責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秘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書作業，無政風機構者，由事務管理單位負責秘書作業。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3.安全維護會報，應定期召開會議，必要時得召開臨時會議。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4.合署辦公或多數機關鄰接地區，應組設聯合安全維護協調會報，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由階層較高或相互推選之機關負責召集，推動整體安全維護工作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，其組設方式，由召集機關參照前列及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研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訂之。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（三）實施預防危害或破壞事件宣導：配合實際發生案例，實施宣導或講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習，提昇員工安全警覺及應變處置能力。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（四）實施預防危害或破壞事件演練：協調相關單位，模擬危安狀況，配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合防護團或自衛編組實施演練，提昇員工處理危害或破壞事件之應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變制變能力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（五）厲行責任區制：協調相關單位明確建立安全維護責任區制度，賦予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各級單位主管與員工之維護責任，結合全體員工力量，共同維護機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關安全。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（六）強化值勤功能：協調相關單位針對洽公、參訪人員等，訂定門禁管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制規定，要求駐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衛警或相關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人員確實執行；對重要設施，劃定禁區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，採取隔離措施。協調權責單位對委託辦理保全業務，應隨時督導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及檢測，以強化值勤功能。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（七）充實維護設備：協調相關單位定期檢測防護器材、設備，保持正常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使用狀態，並逐年充實或更新，以強化維護功能。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（八）防處爆裂物：發現可疑爆裂物品，除應即聯繫警察機關處理外，並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迅速陳報機關首長適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採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因應措施，另通報上級政風機構。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（九）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蒐報危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安預警資料：與有關單位密切聯繫配合，蒐集、掌握有關危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lastRenderedPageBreak/>
              <w:t xml:space="preserve">      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害或破壞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預警資料，提供相關單位參處，以發揮政風機構聯防預警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功能。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（十）與警察及消防機關聯繫配合：經常與當地警察及消防機關保持密切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聯繫，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俾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遇緊急情況時，能獲得迅捷有效支援。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（十一）實施預防措施安全狀況檢查：依照「預防危害或破壞事件實施計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畫」，會同相關單位定期或不定期實施預防措施安全狀況檢查，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發掘缺失，檢討改進，列管追蹤。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（十二）本機關首長安全維護：協調相關單位（人員）對首長住所、辦公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室、會議場所、座車、郵件、包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裏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等加強安全維護措施。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（十三）重要貴賓安全維護：上級機關首長及重要貴賓蒞臨時，協調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助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）相關單位（人員）加強安全維護措施。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（十四）國家元首安全維護：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1.全力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蒐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報對元首、副元首危害、驚擾、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陳情等危安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預警資料。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2.元首、副元首及國賓蒞臨時，政風人員對有關單位安全警衛之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  要求，應協助配合。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（十五）專案安全維護：各機關辦理春安工作、重要慶典、各項選舉及其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他重大集會或施政活動等專案安全維護工作時，應依據機關特性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及任務需求，擬訂專案執行計畫，簽奉機關首長核定，協同相關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單位貫徹執行，以預防危害或破壞事件發生。</w:t>
            </w:r>
          </w:p>
        </w:tc>
      </w:tr>
      <w:tr w:rsidR="00BC3111" w:rsidRPr="00BC3111" w:rsidTr="00BC3111"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7" w:history="1">
              <w:r w:rsidRPr="00BC3111">
                <w:rPr>
                  <w:rFonts w:ascii="標楷體" w:eastAsia="標楷體" w:hAnsi="標楷體" w:cs="新細明體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三、危安狀況之通報：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（一）一般危安狀況：各機關發生一般危安狀況時，應陳報機關首長及協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調相關單位處置，另以電話或傳真（輔以電話確認）陳報上級政風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機構。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（二）重大危安狀況：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1.各機關發生重大危安狀況時，應立即陳報機關首長及協調相關單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位適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採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因應措施，並通報警消機關及調查單位協助處理後，於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一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小時內以電話、傳真或其他便捷方式（輔以電話確認）通報上級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政風機構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及副陳法務部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廉政署（並儘速書面陳報），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另續報後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情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2.事件結束後，得視需要或依上級指示，將全案發生原因、處理經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過及結果，深入調查、研判、分析、檢討，並提出改進措施及追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究責任等陳報。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（三）危安預警資料：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1.屬本機關之危安預警資料：依本要點第三點（一）、（二）之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一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般危安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狀況通報程序、重大危安狀況通報程序處理。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2.非屬本機關之危安預警資料：由原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蒐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報之政風機構通報即將面對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危安狀況機關之政風機構參處，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並副陳上級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政風機構及法務部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廉</w:t>
            </w:r>
            <w:proofErr w:type="gramEnd"/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  政署。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lastRenderedPageBreak/>
              <w:t>（四）重大危安狀況及其預警資料，</w:t>
            </w:r>
            <w:proofErr w:type="gramStart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應依政風</w:t>
            </w:r>
            <w:proofErr w:type="gramEnd"/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機構相關作業要點規定，迅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速通報調查單位參處。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>（五）災害防救狀況：依本要點第三點危安狀況之通報（一）、（二）通</w:t>
            </w:r>
          </w:p>
          <w:p w:rsidR="00BC3111" w:rsidRPr="00BC3111" w:rsidRDefault="00BC3111" w:rsidP="00BC31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3111">
              <w:rPr>
                <w:rFonts w:ascii="標楷體" w:eastAsia="標楷體" w:hAnsi="標楷體" w:cs="細明體"/>
                <w:kern w:val="0"/>
                <w:szCs w:val="24"/>
              </w:rPr>
              <w:t xml:space="preserve">      報程序處理。</w:t>
            </w:r>
          </w:p>
        </w:tc>
      </w:tr>
    </w:tbl>
    <w:p w:rsidR="00A2261E" w:rsidRPr="00BC3111" w:rsidRDefault="00A2261E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A2261E" w:rsidRPr="00BC3111" w:rsidSect="00BC3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A2261E"/>
    <w:rsid w:val="00B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1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311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1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3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311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jlaw.moj.gov.tw/LawContentExtent.aspx?LawID=FL010673&amp;LawNo=3&amp;ItemID=61282&amp;Amddate=20151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jlaw.moj.gov.tw/LawContentExtent.aspx?LawID=FL010673&amp;LawNo=2&amp;ItemID=61281&amp;Amddate=20151019" TargetMode="External"/><Relationship Id="rId5" Type="http://schemas.openxmlformats.org/officeDocument/2006/relationships/hyperlink" Target="http://mojlaw.moj.gov.tw/LawContent.aspx?id=FL0106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2340</Characters>
  <Application>Microsoft Office Word</Application>
  <DocSecurity>0</DocSecurity>
  <Lines>19</Lines>
  <Paragraphs>5</Paragraphs>
  <ScaleCrop>false</ScaleCrop>
  <Company>SYNNEX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1</cp:revision>
  <dcterms:created xsi:type="dcterms:W3CDTF">2016-10-12T03:49:00Z</dcterms:created>
  <dcterms:modified xsi:type="dcterms:W3CDTF">2016-10-12T03:54:00Z</dcterms:modified>
</cp:coreProperties>
</file>