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此為網頁內容表格"/>
      </w:tblPr>
      <w:tblGrid>
        <w:gridCol w:w="8364"/>
      </w:tblGrid>
      <w:tr w:rsidR="00B04E78" w:rsidRPr="00B04E78" w:rsidTr="00B04E7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04E78" w:rsidRPr="00073762" w:rsidRDefault="00B04E78" w:rsidP="00B04E78">
            <w:pPr>
              <w:widowControl/>
              <w:spacing w:line="300" w:lineRule="atLeast"/>
              <w:jc w:val="center"/>
              <w:rPr>
                <w:rFonts w:ascii="新細明體" w:eastAsia="新細明體" w:hAnsi="新細明體" w:cs="新細明體"/>
                <w:b/>
                <w:bCs/>
                <w:color w:val="6F4204"/>
                <w:kern w:val="0"/>
                <w:sz w:val="36"/>
                <w:szCs w:val="36"/>
              </w:rPr>
            </w:pPr>
            <w:r w:rsidRPr="00073762">
              <w:rPr>
                <w:rFonts w:ascii="新細明體" w:eastAsia="新細明體" w:hAnsi="新細明體" w:cs="新細明體"/>
                <w:b/>
                <w:bCs/>
                <w:color w:val="6F4204"/>
                <w:kern w:val="0"/>
                <w:sz w:val="36"/>
                <w:szCs w:val="36"/>
              </w:rPr>
              <w:t>從行政</w:t>
            </w:r>
            <w:proofErr w:type="gramStart"/>
            <w:r w:rsidRPr="00073762">
              <w:rPr>
                <w:rFonts w:ascii="新細明體" w:eastAsia="新細明體" w:hAnsi="新細明體" w:cs="新細明體"/>
                <w:b/>
                <w:bCs/>
                <w:color w:val="6F4204"/>
                <w:kern w:val="0"/>
                <w:sz w:val="36"/>
                <w:szCs w:val="36"/>
              </w:rPr>
              <w:t>肅貪談</w:t>
            </w:r>
            <w:proofErr w:type="gramEnd"/>
            <w:r w:rsidRPr="00073762">
              <w:rPr>
                <w:rFonts w:ascii="新細明體" w:eastAsia="新細明體" w:hAnsi="新細明體" w:cs="新細明體"/>
                <w:b/>
                <w:bCs/>
                <w:color w:val="6F4204"/>
                <w:kern w:val="0"/>
                <w:sz w:val="36"/>
                <w:szCs w:val="36"/>
              </w:rPr>
              <w:t>依法行政</w:t>
            </w:r>
          </w:p>
        </w:tc>
      </w:tr>
    </w:tbl>
    <w:p w:rsidR="00B04E78" w:rsidRPr="003423EE" w:rsidRDefault="00E11D4E" w:rsidP="003423EE">
      <w:pPr>
        <w:widowControl/>
        <w:spacing w:before="120" w:after="120" w:line="300" w:lineRule="atLeast"/>
        <w:rPr>
          <w:rFonts w:ascii="新細明體" w:eastAsia="新細明體" w:hAnsi="新細明體" w:cs="新細明體"/>
          <w:color w:val="000000"/>
          <w:kern w:val="0"/>
          <w:sz w:val="30"/>
          <w:szCs w:val="30"/>
        </w:rPr>
      </w:pPr>
      <w:r>
        <w:rPr>
          <w:rFonts w:ascii="新細明體" w:eastAsia="新細明體" w:hAnsi="新細明體" w:cs="新細明體"/>
          <w:color w:val="000000"/>
          <w:kern w:val="0"/>
          <w:sz w:val="30"/>
          <w:szCs w:val="30"/>
        </w:rPr>
        <w:pict>
          <v:rect id="_x0000_i1025" style="width:0;height:0" o:hralign="center" o:hrstd="t" o:hrnoshade="t" o:hr="t" fillcolor="#36c" stroked="f"/>
        </w:pict>
      </w:r>
      <w:r w:rsidR="00B04E78" w:rsidRPr="003423EE">
        <w:rPr>
          <w:rFonts w:ascii="標楷體" w:eastAsia="標楷體" w:hAnsi="標楷體" w:cs="新細明體"/>
          <w:b/>
          <w:bCs/>
          <w:color w:val="000000"/>
          <w:spacing w:val="20"/>
          <w:kern w:val="0"/>
          <w:sz w:val="28"/>
          <w:szCs w:val="28"/>
        </w:rPr>
        <w:t>壹、前言</w:t>
      </w:r>
    </w:p>
    <w:p w:rsid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 xml:space="preserve">　　當行政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肅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貪案件追究責任時，從機關員工言談的焦點中，會發現一些感性、憐憫，或自我合理化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的說詞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，諸如：「都是認識的，總不好意思拒絕」、「吃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頓飯乃人之常情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，有什麼關係」、「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祇要沒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拿錢，就不犯法」、「又不是故意的，不知者無罪」、「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祇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是應急暫時挪用，事後已經歸墊」、</w:t>
      </w:r>
      <w:r w:rsidR="003423EE"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「</w:t>
      </w: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凡是長官指示的，照做無誤有事他負責」，「以前也都如此，只是援例辦理」、「當主管的人總該有行政裁量權」、「檢察官不起訴處分，就表示沒有犯錯」、「 法官判決無罪，已還清白，何來責任」等辯解的說法；甚至也有「當事人纏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訟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多年已受盡煎熬，何忍再追究責任」、「檢察官雖提起公訴，但當事人否認犯行，已委聘律師辯護，刑事責任尚未確定，何來行政責任」、「法官雖判有罪，當事人已上訴中，案件尚未定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讞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，怎可先予追究行政責任」等關切的看法；更有「勇於任事者，易遭致刑事調查與行政責任之風險，唯唯諾諾保守任事者，則長治久安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‧‧‧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」等激情之詞。</w:t>
      </w:r>
    </w:p>
    <w:p w:rsidR="003423EE" w:rsidRPr="003423EE" w:rsidRDefault="00B04E78" w:rsidP="003423EE">
      <w:pPr>
        <w:widowControl/>
        <w:spacing w:before="100" w:beforeAutospacing="1" w:after="100" w:afterAutospacing="1"/>
        <w:ind w:firstLineChars="200" w:firstLine="600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審就上述說法或看法，乍聽之下似乎有理，但就相關法令規定言，實有違誤之處，為避免傳訛之弊，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爰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有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釐清導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正之必要，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以期弊絕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風清。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茲僅列舉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案例五則及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淺述行政肅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貪與依法行政要則供為參考。</w:t>
      </w:r>
    </w:p>
    <w:p w:rsidR="00B04E78" w:rsidRPr="004B01EB" w:rsidRDefault="00B04E78" w:rsidP="00B04E78">
      <w:pPr>
        <w:widowControl/>
        <w:spacing w:before="100" w:beforeAutospacing="1" w:after="100" w:afterAutospacing="1" w:line="360" w:lineRule="auto"/>
        <w:rPr>
          <w:rFonts w:ascii="標楷體" w:eastAsia="標楷體" w:hAnsi="標楷體" w:cs="新細明體"/>
          <w:color w:val="000000"/>
          <w:spacing w:val="20"/>
          <w:kern w:val="0"/>
          <w:sz w:val="28"/>
          <w:szCs w:val="28"/>
        </w:rPr>
      </w:pPr>
      <w:r w:rsidRPr="004B01EB">
        <w:rPr>
          <w:rFonts w:ascii="標楷體" w:eastAsia="標楷體" w:hAnsi="標楷體" w:cs="新細明體"/>
          <w:b/>
          <w:bCs/>
          <w:color w:val="000000"/>
          <w:spacing w:val="20"/>
          <w:kern w:val="0"/>
          <w:sz w:val="28"/>
          <w:szCs w:val="28"/>
        </w:rPr>
        <w:t>貳、案例簡析</w:t>
      </w:r>
    </w:p>
    <w:p w:rsidR="00B04E78" w:rsidRPr="004B01EB" w:rsidRDefault="004B01EB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  <w:bdr w:val="single" w:sz="4" w:space="0" w:color="auto"/>
        </w:rPr>
      </w:pPr>
      <w:r w:rsidRPr="004B01EB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  <w:bdr w:val="single" w:sz="4" w:space="0" w:color="auto"/>
        </w:rPr>
        <w:t>案例</w:t>
      </w:r>
      <w:proofErr w:type="gramStart"/>
      <w:r w:rsidRPr="004B01EB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  <w:bdr w:val="single" w:sz="4" w:space="0" w:color="auto"/>
        </w:rPr>
        <w:t>一</w:t>
      </w:r>
      <w:proofErr w:type="gramEnd"/>
    </w:p>
    <w:p w:rsidR="003423EE" w:rsidRPr="003423EE" w:rsidRDefault="00B04E78" w:rsidP="003423EE">
      <w:pPr>
        <w:pStyle w:val="a7"/>
        <w:widowControl/>
        <w:numPr>
          <w:ilvl w:val="0"/>
          <w:numId w:val="4"/>
        </w:numPr>
        <w:spacing w:before="100" w:beforeAutospacing="1" w:after="100" w:afterAutospacing="1"/>
        <w:ind w:leftChars="0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案情：某甲平日工作認真負責，該單位主管為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勉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其工作辛勞，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囑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會計部門以某甲加班與差旅名義，變相獎勵某甲，會計人員乃通知某甲自行填報加班及差旅費五千元。經人檢舉，該單位主管、會計人員及某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甲均被檢方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分別依「貪污治罪條例」提起公訴，上級單位並追究渠等行政責任。</w:t>
      </w:r>
    </w:p>
    <w:p w:rsidR="00B04E78" w:rsidRPr="003423EE" w:rsidRDefault="00B04E78" w:rsidP="00B04E78">
      <w:pPr>
        <w:widowControl/>
        <w:spacing w:before="100" w:beforeAutospacing="1" w:after="100" w:afterAutospacing="1" w:line="360" w:lineRule="auto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二、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簡析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：</w:t>
      </w:r>
    </w:p>
    <w:p w:rsidR="00B04E78" w:rsidRP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lastRenderedPageBreak/>
        <w:t>(一)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本案該單位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主管不依法令規定，擅自要求所屬變更經費支用名目做為工作獎金之用，不但觸犯公務員服務法，亦應負圖利他人之刑責；該單位會計人員與某甲，雖係依據長官命令之職務行為，惟依據刑法第二十一條第二項「依所屬上級公務員命令之職務上行為，不罰。但明知命令違法者，不在此限」，故本案會計人員與某甲，明知虛報加班與差旅費為違法之行為，不但未能阻止，仍繼續執行違法之命令，故不能阻卻其違法之事實，而應受法律之制裁。</w:t>
      </w:r>
    </w:p>
    <w:p w:rsidR="00B04E78" w:rsidRP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(二)部分機關首長仍存有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祇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要「公款公用」，不把錢放入個人口袋，便無觸法之虞的錯誤觀念，故常基於照顧所屬或為求一時的工作績效，濫用行政裁量權，變相獎勵，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出發點雖本於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善意，亦無任何貪瀆之意圖，但其違法之事實即已成立，則不能免其刑責，故各單位首長應建立「依法行政」及「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公款法用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」的正確觀念，避免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自觸刑章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，甚至陷部屬同受刑罰之虞；另公務員對上級之命令，雖有服從之義務，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唯對顯已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違法命令，亦應主動向上級公務員提出陳訴，並應拒絕執行，以免觸法。</w:t>
      </w:r>
    </w:p>
    <w:p w:rsidR="00B04E78" w:rsidRPr="004B01EB" w:rsidRDefault="004B01EB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  <w:bdr w:val="single" w:sz="4" w:space="0" w:color="auto"/>
        </w:rPr>
      </w:pPr>
      <w:r w:rsidRPr="004B01EB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  <w:bdr w:val="single" w:sz="4" w:space="0" w:color="auto"/>
        </w:rPr>
        <w:t>案例二</w:t>
      </w:r>
    </w:p>
    <w:p w:rsidR="00B04E78" w:rsidRP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一、案情：某單位承辦人員某甲私自挪用公款，為該單位會審人員稽核時發現向單位首長報告後，商議將上情隱瞞不予舉發，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祇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要求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某甲將挪用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款項補回即可。經人檢舉，法院將某甲以貪污治罪條例侵占公務持有財物罪、單位首長及會審人員亦以貪污治罪條例，明知貪污有據而予以庇護及不為舉發等罪分別判處徒刑；單位首長另遭公務員懲戒委員會議決降二級改敘，某甲及會審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人員均予行政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議處。</w:t>
      </w:r>
    </w:p>
    <w:p w:rsidR="00B04E78" w:rsidRP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二、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簡析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：</w:t>
      </w:r>
    </w:p>
    <w:p w:rsidR="00B04E78" w:rsidRP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(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一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)某甲利用職務上之機會，將業務持有之公款加以挪用，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即屬變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「持有為已有」之侵占行為，觸犯刑法第三百三十六條第一項公務侵占罪；因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某甲屬公務員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身分依貪污治罪條例第四條第一項第一款侵占公有財物罪。雖然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某甲在會審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人員稽核查獲後，將其挪用之公款歸墊補回，但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侵占罪以侵占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行為完畢即為既遂，縱令事後將侵占之款如數返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還亦無解於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侵占罪之成立，其侵占行為已構成犯罪事實，況且該條第三項規定「未遂犯罰之」。</w:t>
      </w:r>
    </w:p>
    <w:p w:rsidR="00B04E78" w:rsidRP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(二)貪污治罪條例第十三條第一項規定「直屬主管長官對於所屬人員，明知貪污有據，而予以庇護或不為舉發者，處一年以上七</w:t>
      </w: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lastRenderedPageBreak/>
        <w:t>年以下有期徒刑」；第十四條規定「辦理監察、會計、審計、犯罪調查、督察、政風人員，因執行職務，明知貪污有據之人員，不為舉發者，處一年以上七年以下有期徒刑」。</w:t>
      </w:r>
    </w:p>
    <w:p w:rsidR="00B04E78" w:rsidRP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(三)本案單位首長接獲會審人員報告後，明知所屬貪污有據蓄意隱瞞包庇不為舉發；而會審人員向機關首長報告後，原可免責，但因與首長共同商議後予以庇護不為舉發，有共同之犯意，因此均觸犯「貪污治罪條例」，並遭致行政懲處。</w:t>
      </w:r>
    </w:p>
    <w:p w:rsidR="00B04E78" w:rsidRPr="004B01EB" w:rsidRDefault="004B01EB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  <w:bdr w:val="single" w:sz="4" w:space="0" w:color="auto"/>
        </w:rPr>
      </w:pPr>
      <w:r w:rsidRPr="004B01EB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  <w:bdr w:val="single" w:sz="4" w:space="0" w:color="auto"/>
        </w:rPr>
        <w:t>案例</w:t>
      </w:r>
      <w:proofErr w:type="gramStart"/>
      <w:r w:rsidRPr="004B01EB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  <w:bdr w:val="single" w:sz="4" w:space="0" w:color="auto"/>
        </w:rPr>
        <w:t>三</w:t>
      </w:r>
      <w:proofErr w:type="gramEnd"/>
    </w:p>
    <w:p w:rsidR="00B04E78" w:rsidRP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一、案情：某甲為單位採購人員，於辦理物料採購時，經人檢舉，以特殊規格排除其他廠商參與競標資格，而以議價方式辦理採購，涉有圖利廠商之嫌，經檢方以圖利罪起訴後，法院認為證據不足，判處無罪，由權責單位檢討行政責任，核予記大過一次處分。</w:t>
      </w:r>
    </w:p>
    <w:p w:rsidR="00B04E78" w:rsidRP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二、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簡析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：</w:t>
      </w:r>
    </w:p>
    <w:p w:rsidR="00B04E78" w:rsidRP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(一)本案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某甲雖經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法院以證據不足判決無罪，單位仍處以記大過處分，按一般人之想法，易產生法律既已還其清白，為何還須受行政處分之疑義，須知法院判決無罪或檢方處以不起訴，乃係就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其所觸法條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之事證不足或證據薄弱所認定，並不代表其確無貪瀆或行政疏失，依法仍應就事實檢討其有無行政違失責任。</w:t>
      </w:r>
    </w:p>
    <w:p w:rsidR="00B04E78" w:rsidRP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(二)在案發當時單位即應同時檢討相關行政責任，期能以程序簡便快速的「行政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肅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貪」彌補繁複費時的「司法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肅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貪」之不足；另對未構成犯罪之政風案件，為整飭紀律，端正風氣，更應依據公務員服務法、考績法等相關法規採用「行政處分」方式，及時予以糾正，以收戒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惕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之效。</w:t>
      </w:r>
    </w:p>
    <w:p w:rsidR="00B04E78" w:rsidRPr="004B01EB" w:rsidRDefault="004B01EB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  <w:bdr w:val="single" w:sz="4" w:space="0" w:color="auto"/>
        </w:rPr>
      </w:pPr>
      <w:r w:rsidRPr="004B01EB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  <w:bdr w:val="single" w:sz="4" w:space="0" w:color="auto"/>
        </w:rPr>
        <w:t>案例四</w:t>
      </w:r>
    </w:p>
    <w:p w:rsidR="00B04E78" w:rsidRP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一、案情：某機關總務科管理員某甲，經辦庶務未依規定招商承製管理員制服，及積欠廠商請領貨款與維修款，經廠商投訴單位調查，確認某甲不諳作業規定，工作不力，貽誤公務所致，尚無涉及貪瀆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不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法事證，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除即調整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職務外，並依行政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肅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貪規定追究某甲之行政責任。</w:t>
      </w:r>
    </w:p>
    <w:p w:rsidR="00B04E78" w:rsidRP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二、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簡析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：</w:t>
      </w:r>
    </w:p>
    <w:p w:rsidR="00B04E78" w:rsidRP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lastRenderedPageBreak/>
        <w:t>(一)本案某甲承辦制服定製，不諳作業規定程序，竟以其他單位之估價表作為與承製廠商訂定採購之標準，製作完成後亦未辦理驗收即行發放。又其承辦庶務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期間，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向廠商購置物品或維修未付款項，在移交時未列入交接且未立即處理，致有拖欠廠商貨款、維修款之情事。</w:t>
      </w:r>
    </w:p>
    <w:p w:rsidR="00B04E78" w:rsidRP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(二)本案經訪查廠商及蒐集相關資料後，雖未發現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某甲涉有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貪瀆情事，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惟某甲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工作不力，貽誤公務，嚴重影響機關聲譽，經簽陳首長後提交該機關考績委員會議處，並對總務科相關失職人員追究責任。</w:t>
      </w:r>
    </w:p>
    <w:p w:rsidR="00B04E78" w:rsidRPr="004B01EB" w:rsidRDefault="004B01EB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  <w:bdr w:val="single" w:sz="4" w:space="0" w:color="auto"/>
        </w:rPr>
      </w:pPr>
      <w:r w:rsidRPr="004B01EB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  <w:bdr w:val="single" w:sz="4" w:space="0" w:color="auto"/>
        </w:rPr>
        <w:t>案例五</w:t>
      </w:r>
    </w:p>
    <w:p w:rsidR="00B04E78" w:rsidRP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一、案情：某單位承辦材料採購人員甲、乙二人，向廠商丙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詢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價時分別在電話中告知前次採購得標價供為參考，並希望該商能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承做本次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採購案，教導該商在開標減價時以「喊痛」暗示無法再減價，該廠商終獲得標。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上情遭檢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調機關查獲，主動偵辦以貪污治罪條例圖利罪提起公訴，案經地方法院以無圖利之積極事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証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判決無罪；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惟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地檢署以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肅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貪執行小組會報決議，函知該單位甲、乙二人辦理採購案件時涉嫌貪污，雖經判決無罪確定，仍應檢討其行政責任，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嗣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經單位考績委員會議決甲、乙二人各予申誡乙次，以儆效尤。</w:t>
      </w:r>
    </w:p>
    <w:p w:rsidR="00B04E78" w:rsidRP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二、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簡析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：</w:t>
      </w:r>
    </w:p>
    <w:p w:rsidR="00B04E78" w:rsidRP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(一)本案係由檢調單位在另案偵查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期間，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意外查獲甲、乙二人分別與廠商丙涉嫌圖利不法案件，並主動偵辦提起公訴，雖地方法院以無圖利之積極事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証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判決無罪，檢察官亦未再上訴，但地檢署兼為地區「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肅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貪執行小組」，經該小組會報決議，認定甲、乙二人身為公務員於辦理採購案件時，在行政作為上有不當及可議之處，仍應檢討其行政責任，遂函告該單位，並要求將查處情形函覆結案。</w:t>
      </w:r>
    </w:p>
    <w:p w:rsidR="00B04E78" w:rsidRP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(二)案經單位檢討，甲、乙二人係為配合工程施工急需材料，恐因作業延誤或流（廢）標延宕，影響工程進度，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遂希廠商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丙儘早備料、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參投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，期能順利決標，如期交貨。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惟渠等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主辦採購作業，並主持開標及承辦開標，卻未公平尋商，又未維護標場紀律。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另某甲在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調查機關偵訊筆錄承認因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工急請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廠商丙準備材料，有補辦手續之嫌；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又某乙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在偵訊筆錄中承認與廠商丙有數次在小吃店吃飯，互有付錢，但大多數由該廠商支付等情。渠等與該廠商彼此</w:t>
      </w: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lastRenderedPageBreak/>
        <w:t>有預期之共識與密切配合之默契，且任意接受與職務有利害關係廠商之飲宴，有違端正政風行動方案飲宴應酬之規定，經單位考績委員會議決甲、乙二人各申誡乙次，以儆效尤。</w:t>
      </w:r>
    </w:p>
    <w:p w:rsidR="00B04E78" w:rsidRP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(三)一般人存有錯誤的觀念，認為涉及貪瀆案件只要經檢方處不起訴或經法院判決無罪，就是法律已還其清白，並無任何責任可言，殊不知不起訴或判決無罪，並不代表沒有行政疏失責任，仍應就案情的事實經過，分析檢討有無行政疏失，並追究相關行政責任，亦即司法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肅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貪與行政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肅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貪並行不悖，相輔相成。</w:t>
      </w:r>
    </w:p>
    <w:p w:rsidR="00B04E78" w:rsidRPr="00073762" w:rsidRDefault="00B04E78" w:rsidP="00B04E78">
      <w:pPr>
        <w:widowControl/>
        <w:spacing w:before="100" w:beforeAutospacing="1" w:after="100" w:afterAutospacing="1" w:line="360" w:lineRule="auto"/>
        <w:rPr>
          <w:rFonts w:ascii="標楷體" w:eastAsia="標楷體" w:hAnsi="標楷體" w:cs="新細明體"/>
          <w:color w:val="000000"/>
          <w:spacing w:val="20"/>
          <w:kern w:val="0"/>
          <w:sz w:val="28"/>
          <w:szCs w:val="28"/>
        </w:rPr>
      </w:pPr>
      <w:r w:rsidRPr="00073762">
        <w:rPr>
          <w:rFonts w:ascii="標楷體" w:eastAsia="標楷體" w:hAnsi="標楷體" w:cs="新細明體"/>
          <w:b/>
          <w:bCs/>
          <w:color w:val="000000"/>
          <w:spacing w:val="20"/>
          <w:kern w:val="0"/>
          <w:sz w:val="28"/>
          <w:szCs w:val="28"/>
        </w:rPr>
        <w:t>參、行政</w:t>
      </w:r>
      <w:proofErr w:type="gramStart"/>
      <w:r w:rsidRPr="00073762">
        <w:rPr>
          <w:rFonts w:ascii="標楷體" w:eastAsia="標楷體" w:hAnsi="標楷體" w:cs="新細明體"/>
          <w:b/>
          <w:bCs/>
          <w:color w:val="000000"/>
          <w:spacing w:val="20"/>
          <w:kern w:val="0"/>
          <w:sz w:val="28"/>
          <w:szCs w:val="28"/>
        </w:rPr>
        <w:t>肅</w:t>
      </w:r>
      <w:proofErr w:type="gramEnd"/>
      <w:r w:rsidRPr="00073762">
        <w:rPr>
          <w:rFonts w:ascii="標楷體" w:eastAsia="標楷體" w:hAnsi="標楷體" w:cs="新細明體"/>
          <w:b/>
          <w:bCs/>
          <w:color w:val="000000"/>
          <w:spacing w:val="20"/>
          <w:kern w:val="0"/>
          <w:sz w:val="28"/>
          <w:szCs w:val="28"/>
        </w:rPr>
        <w:t>貪之規範</w:t>
      </w:r>
    </w:p>
    <w:p w:rsidR="00B04E78" w:rsidRP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一、行政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肅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貪之規範：</w:t>
      </w:r>
    </w:p>
    <w:p w:rsidR="00B04E78" w:rsidRP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(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一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)依據「公務人員服務法」第一條規定：「公務員應遵守誓言，忠心努力，依法律命令所定執行其職務」，另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憲法第廿四條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規定：「凡公務員違法侵害人民之自由或權利者，除依法律受懲戒外，應負刑事及民事責任，被害人民就其損害，並得依法律向國家請求賠償」，所以公務人員處理公務事項發生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違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 xml:space="preserve">失時，其面臨的責任有刑事、民事與行政三種責任。 </w:t>
      </w:r>
    </w:p>
    <w:p w:rsidR="00B04E78" w:rsidRP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(二)一般人對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肅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貪的看法，大多僅限於「司法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肅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貪」，對「行政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肅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貪」大多未曾聽聞或不知其意，而忽略了「行政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肅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貪」在整體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肅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貪工作方面所扮演的重要角色。</w:t>
      </w:r>
      <w:r w:rsidRPr="003423EE">
        <w:rPr>
          <w:rFonts w:ascii="標楷體" w:eastAsia="標楷體" w:hAnsi="標楷體" w:cs="新細明體"/>
          <w:b/>
          <w:color w:val="000000"/>
          <w:spacing w:val="20"/>
          <w:kern w:val="0"/>
          <w:sz w:val="26"/>
          <w:szCs w:val="26"/>
        </w:rPr>
        <w:t>所謂「行政</w:t>
      </w:r>
      <w:proofErr w:type="gramStart"/>
      <w:r w:rsidRPr="003423EE">
        <w:rPr>
          <w:rFonts w:ascii="標楷體" w:eastAsia="標楷體" w:hAnsi="標楷體" w:cs="新細明體"/>
          <w:b/>
          <w:color w:val="000000"/>
          <w:spacing w:val="20"/>
          <w:kern w:val="0"/>
          <w:sz w:val="26"/>
          <w:szCs w:val="26"/>
        </w:rPr>
        <w:t>肅</w:t>
      </w:r>
      <w:proofErr w:type="gramEnd"/>
      <w:r w:rsidRPr="003423EE">
        <w:rPr>
          <w:rFonts w:ascii="標楷體" w:eastAsia="標楷體" w:hAnsi="標楷體" w:cs="新細明體"/>
          <w:b/>
          <w:color w:val="000000"/>
          <w:spacing w:val="20"/>
          <w:kern w:val="0"/>
          <w:sz w:val="26"/>
          <w:szCs w:val="26"/>
        </w:rPr>
        <w:t>貪」簡單的說，就是追究貪瀆的行政責任，亦即依懲戒處分與考績處分等行政處分措施，達到防貪與</w:t>
      </w:r>
      <w:proofErr w:type="gramStart"/>
      <w:r w:rsidRPr="003423EE">
        <w:rPr>
          <w:rFonts w:ascii="標楷體" w:eastAsia="標楷體" w:hAnsi="標楷體" w:cs="新細明體"/>
          <w:b/>
          <w:color w:val="000000"/>
          <w:spacing w:val="20"/>
          <w:kern w:val="0"/>
          <w:sz w:val="26"/>
          <w:szCs w:val="26"/>
        </w:rPr>
        <w:t>肅</w:t>
      </w:r>
      <w:proofErr w:type="gramEnd"/>
      <w:r w:rsidRPr="003423EE">
        <w:rPr>
          <w:rFonts w:ascii="標楷體" w:eastAsia="標楷體" w:hAnsi="標楷體" w:cs="新細明體"/>
          <w:b/>
          <w:color w:val="000000"/>
          <w:spacing w:val="20"/>
          <w:kern w:val="0"/>
          <w:sz w:val="26"/>
          <w:szCs w:val="26"/>
        </w:rPr>
        <w:t>貪的目的</w:t>
      </w: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。由於法律對犯罪的構成，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均以證據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 xml:space="preserve">為依據，而「貪污」固然有其高度的隱密性，但大部分的貪污行為，常與行政作為有密切的關聯，如重大貪瀆案件的發生，常伴隨者有不依法令程序辦理、濫用行政裁量權或查驗不實、隱匿事實等情事，如果能在這些行政疏失發生之時，立即以行政處分手段，予以懲處並制止貪瀆案件發生；對已發生貪瀆案件，如因證據不足，無法定罪者，亦可透過其行政作業之疏失，予以行政懲處，防止再犯之虞。 </w:t>
      </w:r>
    </w:p>
    <w:p w:rsidR="00B04E78" w:rsidRP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(三)檢肅貪瀆、端正政風為政府當前之施政重點，但貪瀆案件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蒐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證困難，且事關公務員個人名節，必須嚴格認證，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方能毋枉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毋縱。而司法審理過程冗長，以往對涉嫌貪瀆之案件大多在刑事追訴不處分或判決無罪之後，才追究行政責任，對於嚇阻貪瀆成效非常有限；事實上，</w:t>
      </w:r>
      <w:r w:rsidRPr="003423EE">
        <w:rPr>
          <w:rFonts w:ascii="標楷體" w:eastAsia="標楷體" w:hAnsi="標楷體" w:cs="新細明體"/>
          <w:b/>
          <w:color w:val="000000"/>
          <w:spacing w:val="20"/>
          <w:kern w:val="0"/>
          <w:sz w:val="26"/>
          <w:szCs w:val="26"/>
        </w:rPr>
        <w:t>刑事追訴與行政責任之追究是並行不悖的</w:t>
      </w: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，依公</w:t>
      </w: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lastRenderedPageBreak/>
        <w:t>務員懲戒法第三十二條規定：「同一行為已為不起訴處分或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免訴或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無罪之宣告者，仍得為懲戒處分；其受免刑或受刑之宣告而未褫奪公權者，亦同」；是以</w:t>
      </w:r>
      <w:r w:rsidRPr="003423EE">
        <w:rPr>
          <w:rFonts w:ascii="標楷體" w:eastAsia="標楷體" w:hAnsi="標楷體" w:cs="新細明體"/>
          <w:b/>
          <w:color w:val="000000"/>
          <w:spacing w:val="20"/>
          <w:kern w:val="0"/>
          <w:sz w:val="26"/>
          <w:szCs w:val="26"/>
        </w:rPr>
        <w:t>在刑法上獲判無罪或不起訴處分，並不表示行政上沒有責任</w:t>
      </w: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。因此對於證據不夠充分，刑事追訴不及之重大行政疏失，自應依據相關規定，做直接、迅速、有效的懲處及行政調整作為，其目的在督促公務人員能廉潔有效推動公務，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俾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使行政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肅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貪彌補司法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肅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 xml:space="preserve">貪之不足。 </w:t>
      </w:r>
    </w:p>
    <w:p w:rsidR="00B04E78" w:rsidRP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(四)法務部為使各級瞭解「行政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肅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貪」之真義，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特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於八十六年四月十九日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函頒「</w:t>
      </w:r>
      <w:proofErr w:type="gramEnd"/>
      <w:r w:rsidRPr="003423EE">
        <w:rPr>
          <w:rFonts w:ascii="標楷體" w:eastAsia="標楷體" w:hAnsi="標楷體" w:cs="新細明體"/>
          <w:b/>
          <w:color w:val="000000"/>
          <w:spacing w:val="20"/>
          <w:kern w:val="0"/>
          <w:sz w:val="26"/>
          <w:szCs w:val="26"/>
        </w:rPr>
        <w:t>政風機構加強行政</w:t>
      </w:r>
      <w:proofErr w:type="gramStart"/>
      <w:r w:rsidRPr="003423EE">
        <w:rPr>
          <w:rFonts w:ascii="標楷體" w:eastAsia="標楷體" w:hAnsi="標楷體" w:cs="新細明體"/>
          <w:b/>
          <w:color w:val="000000"/>
          <w:spacing w:val="20"/>
          <w:kern w:val="0"/>
          <w:sz w:val="26"/>
          <w:szCs w:val="26"/>
        </w:rPr>
        <w:t>肅</w:t>
      </w:r>
      <w:proofErr w:type="gramEnd"/>
      <w:r w:rsidRPr="003423EE">
        <w:rPr>
          <w:rFonts w:ascii="標楷體" w:eastAsia="標楷體" w:hAnsi="標楷體" w:cs="新細明體"/>
          <w:b/>
          <w:color w:val="000000"/>
          <w:spacing w:val="20"/>
          <w:kern w:val="0"/>
          <w:sz w:val="26"/>
          <w:szCs w:val="26"/>
        </w:rPr>
        <w:t>貪注意事項</w:t>
      </w: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」乙種，其中明訂公務員有左列情形之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一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 xml:space="preserve">而涉及行政責任者，應即追究其行政責任： </w:t>
      </w:r>
    </w:p>
    <w:p w:rsidR="00B04E78" w:rsidRPr="003423EE" w:rsidRDefault="00B04E78" w:rsidP="003423E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 xml:space="preserve">各機關政風機構處理本機關員工之貪瀆不法案件，經調查結果，未能證明涉有犯罪嫌疑者。 </w:t>
      </w:r>
    </w:p>
    <w:p w:rsidR="00B04E78" w:rsidRPr="003423EE" w:rsidRDefault="00B04E78" w:rsidP="003423E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 xml:space="preserve">法務部調查局或其外勤處、站、組受理之貪瀆案件，經調查結果，未能證明涉有犯罪嫌疑者。 </w:t>
      </w:r>
    </w:p>
    <w:p w:rsidR="00B04E78" w:rsidRPr="003423EE" w:rsidRDefault="00B04E78" w:rsidP="003423E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 xml:space="preserve">各檢察機關受理之貪瀆案件，經檢察官偵查結果，依規定予以簽結或為不起訴之處分者。 </w:t>
      </w:r>
    </w:p>
    <w:p w:rsidR="00B04E78" w:rsidRPr="003423EE" w:rsidRDefault="00B04E78" w:rsidP="003423E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 xml:space="preserve">各級法院受理之貪瀆案件，經審理結果，為被告無罪之判決者。 </w:t>
      </w:r>
    </w:p>
    <w:p w:rsidR="00B04E78" w:rsidRPr="003423EE" w:rsidRDefault="00B04E78" w:rsidP="003423E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違反政風行動方案關於請託關說、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贈受財物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或飲宴應酬等防貪之規定，情節嚴重者。</w:t>
      </w:r>
    </w:p>
    <w:p w:rsidR="00B04E78" w:rsidRPr="003423EE" w:rsidRDefault="00B04E78" w:rsidP="003423EE">
      <w:pPr>
        <w:widowControl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 xml:space="preserve">二、依法行政之要義： </w:t>
      </w:r>
    </w:p>
    <w:p w:rsidR="00B04E78" w:rsidRP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(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一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)</w:t>
      </w:r>
      <w:r w:rsidRPr="00485F9F">
        <w:rPr>
          <w:rFonts w:ascii="標楷體" w:eastAsia="標楷體" w:hAnsi="標楷體" w:cs="新細明體"/>
          <w:b/>
          <w:color w:val="000000"/>
          <w:spacing w:val="20"/>
          <w:kern w:val="0"/>
          <w:sz w:val="26"/>
          <w:szCs w:val="26"/>
        </w:rPr>
        <w:t>「依法行政」又稱「行政合法化」，係指國家行政機關之一切行政行為須符合法令之規範，或有法律授權之基礎，簡言之就是「在法之範圍內達成行政目的」</w:t>
      </w: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 xml:space="preserve">。是以「依法行政」為公務員首要原則，如違反依法行政，公務員個人須負民事、刑事及行政責任，而行政主體（服務之機關）則須負國家賠償責任。因此公務人員在辦理國家公務，要遵守國家法令，依法律命令執行職務。 </w:t>
      </w:r>
    </w:p>
    <w:p w:rsidR="00B04E78" w:rsidRP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 xml:space="preserve">(二)依法行政之原則區分為積極與消極兩項： </w:t>
      </w:r>
    </w:p>
    <w:p w:rsidR="00B04E78" w:rsidRPr="003423EE" w:rsidRDefault="00B04E78" w:rsidP="003423EE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積極的依法行政，是指法律保留原則，即沒有法律授權，行政機關即不能合法的作成行政行為，因憲法已將某些事項保留予立法機關，須由立法機關以加以規定，故在法律</w:t>
      </w: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lastRenderedPageBreak/>
        <w:t>保留原則之下，行政行為不能以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不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 xml:space="preserve">牴觸法律為已足，尚須有法律之明文依據。 </w:t>
      </w:r>
    </w:p>
    <w:p w:rsidR="00B04E78" w:rsidRPr="003423EE" w:rsidRDefault="00B04E78" w:rsidP="003423EE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消極的依法行政，是指法律優越原則，即行政機關本於法定職權，對任何行政行為或行政活動，所發布之行政命令，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祇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須有消極的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不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牴觸法律即可；換言之，並不要求一切行政活動必須有法律之明文依據，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祇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須消極的不違背法律之規定即可。</w:t>
      </w:r>
    </w:p>
    <w:p w:rsidR="00B04E78" w:rsidRP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 xml:space="preserve">(三)依法行政之裁量原則： </w:t>
      </w:r>
    </w:p>
    <w:p w:rsidR="00B04E78" w:rsidRPr="003423EE" w:rsidRDefault="00B04E78" w:rsidP="003423EE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由於行政事務繁瑣，法令規定難以絕對周延，如完全拘泥於法的範圍內，勢難達到福利國家便民、利民之目標，因此，法律對某些事務許可行政機關行使職權時，得為自由之判斷，便產生了所謂的行政裁量權，但裁量權並非完全的放任，</w:t>
      </w:r>
      <w:r w:rsidRPr="00485F9F">
        <w:rPr>
          <w:rFonts w:ascii="標楷體" w:eastAsia="標楷體" w:hAnsi="標楷體" w:cs="新細明體"/>
          <w:b/>
          <w:color w:val="000000"/>
          <w:spacing w:val="20"/>
          <w:kern w:val="0"/>
          <w:sz w:val="26"/>
          <w:szCs w:val="26"/>
        </w:rPr>
        <w:t>行政機關行使裁量權，仍須遵守法律優越原則，所做之個別判斷，亦應避免違背誠信原則、平等原則、比例原則等一般法的規範，</w:t>
      </w:r>
      <w:proofErr w:type="gramStart"/>
      <w:r w:rsidRPr="00485F9F">
        <w:rPr>
          <w:rFonts w:ascii="標楷體" w:eastAsia="標楷體" w:hAnsi="標楷體" w:cs="新細明體"/>
          <w:b/>
          <w:color w:val="000000"/>
          <w:spacing w:val="20"/>
          <w:kern w:val="0"/>
          <w:sz w:val="26"/>
          <w:szCs w:val="26"/>
        </w:rPr>
        <w:t>如裁量</w:t>
      </w:r>
      <w:proofErr w:type="gramEnd"/>
      <w:r w:rsidRPr="00485F9F">
        <w:rPr>
          <w:rFonts w:ascii="標楷體" w:eastAsia="標楷體" w:hAnsi="標楷體" w:cs="新細明體"/>
          <w:b/>
          <w:color w:val="000000"/>
          <w:spacing w:val="20"/>
          <w:kern w:val="0"/>
          <w:sz w:val="26"/>
          <w:szCs w:val="26"/>
        </w:rPr>
        <w:t>權係基於法律條款之授權，尤其不得違反授權之目的或超越授權之範圍</w:t>
      </w: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，故行政裁量是指對多數法律效果之行為擇一而行的選擇裁量</w:t>
      </w:r>
      <w:bookmarkStart w:id="0" w:name="_GoBack"/>
      <w:bookmarkEnd w:id="0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 xml:space="preserve">，或因法律授權所為之決策裁量而言。 </w:t>
      </w:r>
    </w:p>
    <w:p w:rsidR="00B04E78" w:rsidRPr="003423EE" w:rsidRDefault="00B04E78" w:rsidP="003423EE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「行政裁量」是不能踰越法律的範疇，實踐上仍必須受到許多法制及事理的適用，而不能漫無限制的濫用行政職權。尤其是在職務上給予人民利益之行為，若非為法律條款之授權，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亟易觸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法並構成公務員圖利罪。而</w:t>
      </w:r>
      <w:proofErr w:type="gramStart"/>
      <w:r w:rsidRPr="00485F9F">
        <w:rPr>
          <w:rFonts w:ascii="標楷體" w:eastAsia="標楷體" w:hAnsi="標楷體" w:cs="新細明體"/>
          <w:b/>
          <w:color w:val="000000"/>
          <w:spacing w:val="20"/>
          <w:kern w:val="0"/>
          <w:sz w:val="26"/>
          <w:szCs w:val="26"/>
        </w:rPr>
        <w:t>圖利罪雖與</w:t>
      </w:r>
      <w:proofErr w:type="gramEnd"/>
      <w:r w:rsidRPr="00485F9F">
        <w:rPr>
          <w:rFonts w:ascii="標楷體" w:eastAsia="標楷體" w:hAnsi="標楷體" w:cs="新細明體"/>
          <w:b/>
          <w:color w:val="000000"/>
          <w:spacing w:val="20"/>
          <w:kern w:val="0"/>
          <w:sz w:val="26"/>
          <w:szCs w:val="26"/>
        </w:rPr>
        <w:t>便民僅一線之隔，但其主要的分際，在是否依法行政</w:t>
      </w: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，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祇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要一切依法行政，一切行政作為都依照法律規定、內部規程、行政規章、長官職務上合法命令，便可放手盡心盡力去做，不會有圖利或違法之虞。因此公務人員基於職務上的一切行政行為，均不得牴觸法律，尤其在行使「行政裁量權」所做之個別判斷，更須遵循誠信原則、平等原則等一般法的規範，以避免誤觸法網，並造成終身遺憾。</w:t>
      </w:r>
    </w:p>
    <w:p w:rsidR="00B04E78" w:rsidRPr="00073762" w:rsidRDefault="00B04E78" w:rsidP="00B04E78">
      <w:pPr>
        <w:widowControl/>
        <w:spacing w:before="100" w:beforeAutospacing="1" w:after="100" w:afterAutospacing="1" w:line="360" w:lineRule="auto"/>
        <w:rPr>
          <w:rFonts w:ascii="標楷體" w:eastAsia="標楷體" w:hAnsi="標楷體" w:cs="新細明體"/>
          <w:color w:val="000000"/>
          <w:spacing w:val="20"/>
          <w:kern w:val="0"/>
          <w:sz w:val="28"/>
          <w:szCs w:val="28"/>
        </w:rPr>
      </w:pPr>
      <w:r w:rsidRPr="00073762">
        <w:rPr>
          <w:rFonts w:ascii="標楷體" w:eastAsia="標楷體" w:hAnsi="標楷體" w:cs="新細明體"/>
          <w:b/>
          <w:bCs/>
          <w:color w:val="000000"/>
          <w:spacing w:val="20"/>
          <w:kern w:val="0"/>
          <w:sz w:val="28"/>
          <w:szCs w:val="28"/>
        </w:rPr>
        <w:t>肆、結論</w:t>
      </w:r>
      <w:r w:rsidRPr="00073762">
        <w:rPr>
          <w:rFonts w:ascii="標楷體" w:eastAsia="標楷體" w:hAnsi="標楷體" w:cs="新細明體"/>
          <w:color w:val="000000"/>
          <w:spacing w:val="20"/>
          <w:kern w:val="0"/>
          <w:sz w:val="28"/>
          <w:szCs w:val="28"/>
        </w:rPr>
        <w:t xml:space="preserve"> </w:t>
      </w:r>
    </w:p>
    <w:p w:rsidR="00B04E78" w:rsidRPr="003423EE" w:rsidRDefault="00B04E78" w:rsidP="003423EE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</w:pP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 xml:space="preserve">　　綜上所述之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案例簡析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，及行政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肅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貪與依法行政之要則，應能清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礎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的瞭解，</w:t>
      </w:r>
      <w:r w:rsidRPr="00485F9F">
        <w:rPr>
          <w:rFonts w:ascii="標楷體" w:eastAsia="標楷體" w:hAnsi="標楷體" w:cs="新細明體"/>
          <w:b/>
          <w:color w:val="000000"/>
          <w:spacing w:val="20"/>
          <w:kern w:val="0"/>
          <w:sz w:val="26"/>
          <w:szCs w:val="26"/>
        </w:rPr>
        <w:t>「司法</w:t>
      </w:r>
      <w:proofErr w:type="gramStart"/>
      <w:r w:rsidRPr="00485F9F">
        <w:rPr>
          <w:rFonts w:ascii="標楷體" w:eastAsia="標楷體" w:hAnsi="標楷體" w:cs="新細明體"/>
          <w:b/>
          <w:color w:val="000000"/>
          <w:spacing w:val="20"/>
          <w:kern w:val="0"/>
          <w:sz w:val="26"/>
          <w:szCs w:val="26"/>
        </w:rPr>
        <w:t>肅</w:t>
      </w:r>
      <w:proofErr w:type="gramEnd"/>
      <w:r w:rsidRPr="00485F9F">
        <w:rPr>
          <w:rFonts w:ascii="標楷體" w:eastAsia="標楷體" w:hAnsi="標楷體" w:cs="新細明體"/>
          <w:b/>
          <w:color w:val="000000"/>
          <w:spacing w:val="20"/>
          <w:kern w:val="0"/>
          <w:sz w:val="26"/>
          <w:szCs w:val="26"/>
        </w:rPr>
        <w:t>貪」與「行政</w:t>
      </w:r>
      <w:proofErr w:type="gramStart"/>
      <w:r w:rsidRPr="00485F9F">
        <w:rPr>
          <w:rFonts w:ascii="標楷體" w:eastAsia="標楷體" w:hAnsi="標楷體" w:cs="新細明體"/>
          <w:b/>
          <w:color w:val="000000"/>
          <w:spacing w:val="20"/>
          <w:kern w:val="0"/>
          <w:sz w:val="26"/>
          <w:szCs w:val="26"/>
        </w:rPr>
        <w:t>肅</w:t>
      </w:r>
      <w:proofErr w:type="gramEnd"/>
      <w:r w:rsidRPr="00485F9F">
        <w:rPr>
          <w:rFonts w:ascii="標楷體" w:eastAsia="標楷體" w:hAnsi="標楷體" w:cs="新細明體"/>
          <w:b/>
          <w:color w:val="000000"/>
          <w:spacing w:val="20"/>
          <w:kern w:val="0"/>
          <w:sz w:val="26"/>
          <w:szCs w:val="26"/>
        </w:rPr>
        <w:t>貪」並行不悖；故對公務員涉有貪污罪案件，因證據不足而獲判無罪或不起訴處分，並不代表確無貪瀆或行政疏失</w:t>
      </w: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，惟部分機關首長往往以刑事責任已明，</w:t>
      </w:r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lastRenderedPageBreak/>
        <w:t>即未再追究行政責任，使程序簡便快速之「行政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肅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貪」，未能有效彌補繁複費時之「司法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肅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貪」的不足。因此機關對於涉案人員除依法移送偵辦外，更應追究其行政責任，至於未涉嫌犯罪的一般政風案件，亦應及時運用行政處分來導正，嚇阻貪瀆不法風氣滋生蔓延。「檢肅貪瀆」為各級主管的法定職掌，故各單位首長對所屬涉有貪瀆不法情事，應以堅定立場，展現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肅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貪的決心，依法究辦，絕不可鄉愿姑息，以徹底根絕貪瀆弊端情事。至於每位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員工均應確知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國家任用公務人員執行職務，公務員對國家所賦予之職責，就必須負有依國家法令規章，忠實執行職務之義務，如有違失或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怠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於職守，就必須相對負刑事、民事與行政責任，而「依法行政」為公務人員唯一的護身符，故每一</w:t>
      </w:r>
      <w:proofErr w:type="gramStart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公務人員均應深入</w:t>
      </w:r>
      <w:proofErr w:type="gramEnd"/>
      <w:r w:rsidRPr="003423EE">
        <w:rPr>
          <w:rFonts w:ascii="標楷體" w:eastAsia="標楷體" w:hAnsi="標楷體" w:cs="新細明體"/>
          <w:color w:val="000000"/>
          <w:spacing w:val="20"/>
          <w:kern w:val="0"/>
          <w:sz w:val="26"/>
          <w:szCs w:val="26"/>
        </w:rPr>
        <w:t>瞭解與個人職務有關之法令規章，一切依法行政。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此為網頁內容表格"/>
      </w:tblPr>
      <w:tblGrid>
        <w:gridCol w:w="8364"/>
      </w:tblGrid>
      <w:tr w:rsidR="00B04E78" w:rsidRPr="003423EE" w:rsidTr="00B04E7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04E78" w:rsidRPr="003423EE" w:rsidRDefault="00B04E78" w:rsidP="00B04E78">
            <w:pPr>
              <w:widowControl/>
              <w:spacing w:line="300" w:lineRule="atLeas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</w:tbl>
    <w:p w:rsidR="005A64BF" w:rsidRPr="003423EE" w:rsidRDefault="00B04E78">
      <w:pPr>
        <w:rPr>
          <w:rFonts w:ascii="標楷體" w:eastAsia="標楷體" w:hAnsi="標楷體"/>
          <w:sz w:val="26"/>
          <w:szCs w:val="26"/>
          <w:u w:val="single"/>
        </w:rPr>
      </w:pPr>
      <w:r w:rsidRPr="003423EE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文章來源：</w:t>
      </w:r>
      <w:r w:rsidRPr="003423EE">
        <w:rPr>
          <w:rFonts w:ascii="標楷體" w:eastAsia="標楷體" w:hAnsi="標楷體"/>
          <w:color w:val="000000"/>
          <w:sz w:val="26"/>
          <w:szCs w:val="26"/>
          <w:u w:val="single"/>
        </w:rPr>
        <w:t>©  行政院農委會農業全球資訊網 www.coa.gov.tw</w:t>
      </w:r>
    </w:p>
    <w:sectPr w:rsidR="005A64BF" w:rsidRPr="003423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4E" w:rsidRDefault="00E11D4E" w:rsidP="003423EE">
      <w:r>
        <w:separator/>
      </w:r>
    </w:p>
  </w:endnote>
  <w:endnote w:type="continuationSeparator" w:id="0">
    <w:p w:rsidR="00E11D4E" w:rsidRDefault="00E11D4E" w:rsidP="0034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4E" w:rsidRDefault="00E11D4E" w:rsidP="003423EE">
      <w:r>
        <w:separator/>
      </w:r>
    </w:p>
  </w:footnote>
  <w:footnote w:type="continuationSeparator" w:id="0">
    <w:p w:rsidR="00E11D4E" w:rsidRDefault="00E11D4E" w:rsidP="00342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622"/>
    <w:multiLevelType w:val="multilevel"/>
    <w:tmpl w:val="F7D6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E2C8C"/>
    <w:multiLevelType w:val="hybridMultilevel"/>
    <w:tmpl w:val="66B0F2B6"/>
    <w:lvl w:ilvl="0" w:tplc="FADC90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AB6613"/>
    <w:multiLevelType w:val="multilevel"/>
    <w:tmpl w:val="7868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E679E"/>
    <w:multiLevelType w:val="multilevel"/>
    <w:tmpl w:val="ABC4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78"/>
    <w:rsid w:val="00073762"/>
    <w:rsid w:val="001B1D5B"/>
    <w:rsid w:val="003423EE"/>
    <w:rsid w:val="00485F9F"/>
    <w:rsid w:val="004B01EB"/>
    <w:rsid w:val="005A64BF"/>
    <w:rsid w:val="00B04E78"/>
    <w:rsid w:val="00E1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23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2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23EE"/>
    <w:rPr>
      <w:sz w:val="20"/>
      <w:szCs w:val="20"/>
    </w:rPr>
  </w:style>
  <w:style w:type="paragraph" w:styleId="a7">
    <w:name w:val="List Paragraph"/>
    <w:basedOn w:val="a"/>
    <w:uiPriority w:val="34"/>
    <w:qFormat/>
    <w:rsid w:val="003423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23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2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23EE"/>
    <w:rPr>
      <w:sz w:val="20"/>
      <w:szCs w:val="20"/>
    </w:rPr>
  </w:style>
  <w:style w:type="paragraph" w:styleId="a7">
    <w:name w:val="List Paragraph"/>
    <w:basedOn w:val="a"/>
    <w:uiPriority w:val="34"/>
    <w:qFormat/>
    <w:rsid w:val="003423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6537">
                          <w:marLeft w:val="0"/>
                          <w:marRight w:val="2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7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7277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865</Words>
  <Characters>4933</Characters>
  <Application>Microsoft Office Word</Application>
  <DocSecurity>0</DocSecurity>
  <Lines>41</Lines>
  <Paragraphs>11</Paragraphs>
  <ScaleCrop>false</ScaleCrop>
  <Company>SYNNEX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彭正光</dc:creator>
  <cp:lastModifiedBy>彭正光</cp:lastModifiedBy>
  <cp:revision>7</cp:revision>
  <dcterms:created xsi:type="dcterms:W3CDTF">2016-11-25T05:42:00Z</dcterms:created>
  <dcterms:modified xsi:type="dcterms:W3CDTF">2016-12-02T06:42:00Z</dcterms:modified>
</cp:coreProperties>
</file>