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89" w:rsidRPr="00935D85" w:rsidRDefault="00935D85" w:rsidP="00935D85">
      <w:pPr>
        <w:jc w:val="center"/>
        <w:rPr>
          <w:rFonts w:ascii="標楷體" w:eastAsia="標楷體" w:hAnsi="標楷體"/>
          <w:b/>
          <w:sz w:val="32"/>
          <w:szCs w:val="36"/>
        </w:rPr>
      </w:pPr>
      <w:r w:rsidRPr="00935D85">
        <w:rPr>
          <w:rFonts w:ascii="標楷體" w:eastAsia="標楷體" w:hAnsi="標楷體" w:hint="eastAsia"/>
          <w:b/>
          <w:sz w:val="32"/>
          <w:szCs w:val="36"/>
        </w:rPr>
        <w:t>桃園市政府交通事件裁決處沒入車輛委託廠商保管及銷毀作業要點</w:t>
      </w:r>
    </w:p>
    <w:p w:rsidR="00935D85" w:rsidRDefault="00935D85" w:rsidP="00935D85">
      <w:pPr>
        <w:jc w:val="right"/>
        <w:rPr>
          <w:rFonts w:ascii="標楷體" w:eastAsia="標楷體" w:hAnsi="標楷體"/>
          <w:b/>
          <w:sz w:val="20"/>
          <w:szCs w:val="36"/>
        </w:rPr>
      </w:pPr>
      <w:r w:rsidRPr="00935D85">
        <w:rPr>
          <w:rFonts w:ascii="標楷體" w:eastAsia="標楷體" w:hAnsi="標楷體" w:hint="eastAsia"/>
          <w:b/>
          <w:sz w:val="20"/>
          <w:szCs w:val="36"/>
        </w:rPr>
        <w:t>104年12月9日</w:t>
      </w:r>
      <w:proofErr w:type="gramStart"/>
      <w:r w:rsidRPr="00935D85">
        <w:rPr>
          <w:rFonts w:ascii="標楷體" w:eastAsia="標楷體" w:hAnsi="標楷體" w:hint="eastAsia"/>
          <w:b/>
          <w:sz w:val="20"/>
          <w:szCs w:val="36"/>
        </w:rPr>
        <w:t>府交公字</w:t>
      </w:r>
      <w:proofErr w:type="gramEnd"/>
      <w:r w:rsidRPr="00935D85">
        <w:rPr>
          <w:rFonts w:ascii="標楷體" w:eastAsia="標楷體" w:hAnsi="標楷體" w:hint="eastAsia"/>
          <w:b/>
          <w:sz w:val="20"/>
          <w:szCs w:val="36"/>
        </w:rPr>
        <w:t>第1</w:t>
      </w:r>
      <w:r>
        <w:rPr>
          <w:rFonts w:ascii="標楷體" w:eastAsia="標楷體" w:hAnsi="標楷體" w:hint="eastAsia"/>
          <w:b/>
          <w:sz w:val="20"/>
          <w:szCs w:val="36"/>
        </w:rPr>
        <w:t>040323041</w:t>
      </w:r>
      <w:r w:rsidRPr="00935D85">
        <w:rPr>
          <w:rFonts w:ascii="標楷體" w:eastAsia="標楷體" w:hAnsi="標楷體" w:hint="eastAsia"/>
          <w:b/>
          <w:sz w:val="20"/>
          <w:szCs w:val="36"/>
        </w:rPr>
        <w:t>號令發布</w:t>
      </w:r>
    </w:p>
    <w:p w:rsidR="00A6363B" w:rsidRPr="00935D85" w:rsidRDefault="00A6363B" w:rsidP="00A6363B">
      <w:pPr>
        <w:pStyle w:val="a3"/>
        <w:numPr>
          <w:ilvl w:val="0"/>
          <w:numId w:val="1"/>
        </w:numPr>
        <w:adjustRightInd w:val="0"/>
        <w:snapToGrid w:val="0"/>
        <w:ind w:leftChars="59" w:left="850" w:hangingChars="253" w:hanging="708"/>
        <w:rPr>
          <w:rFonts w:ascii="標楷體" w:eastAsia="標楷體" w:hAnsi="標楷體"/>
          <w:b/>
          <w:sz w:val="28"/>
          <w:szCs w:val="28"/>
        </w:rPr>
      </w:pPr>
      <w:r w:rsidRPr="003F6599">
        <w:rPr>
          <w:rFonts w:ascii="標楷體" w:eastAsia="標楷體" w:hAnsi="標楷體" w:hint="eastAsia"/>
          <w:sz w:val="28"/>
          <w:szCs w:val="28"/>
        </w:rPr>
        <w:t>桃園市政府交通事件裁決處（以下簡稱裁決處）為辦理違反道路交通管理處罰條例</w:t>
      </w:r>
      <w:r>
        <w:rPr>
          <w:rFonts w:ascii="標楷體" w:eastAsia="標楷體" w:hAnsi="標楷體" w:hint="eastAsia"/>
          <w:sz w:val="28"/>
          <w:szCs w:val="28"/>
        </w:rPr>
        <w:t>(以下簡稱本條例)</w:t>
      </w:r>
      <w:r w:rsidRPr="003F6599">
        <w:rPr>
          <w:rFonts w:ascii="標楷體" w:eastAsia="標楷體" w:hAnsi="標楷體" w:hint="eastAsia"/>
          <w:sz w:val="28"/>
          <w:szCs w:val="28"/>
        </w:rPr>
        <w:t>沒入車輛委託廠商銷毀作業相關事宜，特訂定本要點</w:t>
      </w:r>
      <w:r>
        <w:rPr>
          <w:rFonts w:ascii="標楷體" w:eastAsia="標楷體" w:hAnsi="標楷體" w:hint="eastAsia"/>
          <w:sz w:val="28"/>
          <w:szCs w:val="28"/>
        </w:rPr>
        <w:t>。</w:t>
      </w:r>
    </w:p>
    <w:p w:rsidR="00935D85" w:rsidRPr="00935D85" w:rsidRDefault="00935D85" w:rsidP="00935D85">
      <w:pPr>
        <w:pStyle w:val="a3"/>
        <w:numPr>
          <w:ilvl w:val="0"/>
          <w:numId w:val="1"/>
        </w:numPr>
        <w:adjustRightInd w:val="0"/>
        <w:snapToGrid w:val="0"/>
        <w:ind w:leftChars="59" w:left="850" w:hangingChars="253" w:hanging="708"/>
        <w:rPr>
          <w:rFonts w:ascii="標楷體" w:eastAsia="標楷體" w:hAnsi="標楷體"/>
          <w:sz w:val="28"/>
          <w:szCs w:val="28"/>
        </w:rPr>
      </w:pPr>
      <w:r w:rsidRPr="00935D85">
        <w:rPr>
          <w:rFonts w:ascii="標楷體" w:eastAsia="標楷體" w:hAnsi="標楷體" w:hint="eastAsia"/>
          <w:sz w:val="28"/>
          <w:szCs w:val="28"/>
        </w:rPr>
        <w:t>凡於桃園市境內，經警察機關或監警聯合稽查小組查獲車輛駕駛人或所有人駕駛依道路交通管理處罰條例規定應予沒入之車輛於道路上行駛者，該沒入之車輛，應移裁決處或其委託之廠商代為保管及銷毀。</w:t>
      </w:r>
    </w:p>
    <w:p w:rsidR="00935D85" w:rsidRDefault="00935D85" w:rsidP="00935D85">
      <w:pPr>
        <w:pStyle w:val="a3"/>
        <w:adjustRightInd w:val="0"/>
        <w:snapToGrid w:val="0"/>
        <w:ind w:leftChars="0" w:left="850"/>
        <w:rPr>
          <w:rFonts w:ascii="標楷體" w:eastAsia="標楷體" w:hAnsi="標楷體"/>
          <w:sz w:val="28"/>
          <w:szCs w:val="28"/>
        </w:rPr>
      </w:pPr>
      <w:r w:rsidRPr="00935D85">
        <w:rPr>
          <w:rFonts w:ascii="標楷體" w:eastAsia="標楷體" w:hAnsi="標楷體" w:hint="eastAsia"/>
          <w:sz w:val="28"/>
          <w:szCs w:val="28"/>
        </w:rPr>
        <w:t>裁決處為辦理沒入車輛銷毀作業，得委託廠商辦理並應訂定委託契約。</w:t>
      </w:r>
    </w:p>
    <w:p w:rsidR="00935D85" w:rsidRDefault="00935D85" w:rsidP="00935D85">
      <w:pPr>
        <w:pStyle w:val="a3"/>
        <w:numPr>
          <w:ilvl w:val="0"/>
          <w:numId w:val="1"/>
        </w:numPr>
        <w:adjustRightInd w:val="0"/>
        <w:snapToGrid w:val="0"/>
        <w:ind w:leftChars="59" w:left="850" w:hangingChars="253" w:hanging="708"/>
        <w:rPr>
          <w:rFonts w:ascii="標楷體" w:eastAsia="標楷體" w:hAnsi="標楷體"/>
          <w:sz w:val="28"/>
          <w:szCs w:val="28"/>
        </w:rPr>
      </w:pPr>
      <w:r w:rsidRPr="00935D85">
        <w:rPr>
          <w:rFonts w:ascii="標楷體" w:eastAsia="標楷體" w:hAnsi="標楷體" w:hint="eastAsia"/>
          <w:sz w:val="28"/>
          <w:szCs w:val="28"/>
        </w:rPr>
        <w:t>警察機關或監警聯合稽查小組依法取締應予沒入車輛，其車輛上所載貨物及物品應</w:t>
      </w:r>
      <w:proofErr w:type="gramStart"/>
      <w:r w:rsidRPr="00935D85">
        <w:rPr>
          <w:rFonts w:ascii="標楷體" w:eastAsia="標楷體" w:hAnsi="標楷體" w:hint="eastAsia"/>
          <w:sz w:val="28"/>
          <w:szCs w:val="28"/>
        </w:rPr>
        <w:t>即製據</w:t>
      </w:r>
      <w:proofErr w:type="gramEnd"/>
      <w:r w:rsidRPr="00935D85">
        <w:rPr>
          <w:rFonts w:ascii="標楷體" w:eastAsia="標楷體" w:hAnsi="標楷體" w:hint="eastAsia"/>
          <w:sz w:val="28"/>
          <w:szCs w:val="28"/>
        </w:rPr>
        <w:t>發還貨物及物品之所有人、原持有人或該車輛駕駛人。但屬</w:t>
      </w:r>
      <w:r w:rsidR="00A6363B">
        <w:rPr>
          <w:rFonts w:ascii="標楷體" w:eastAsia="標楷體" w:hAnsi="標楷體" w:hint="eastAsia"/>
          <w:sz w:val="28"/>
          <w:szCs w:val="28"/>
        </w:rPr>
        <w:t>本條例第十六條規定應為</w:t>
      </w:r>
      <w:r w:rsidRPr="00935D85">
        <w:rPr>
          <w:rFonts w:ascii="標楷體" w:eastAsia="標楷體" w:hAnsi="標楷體" w:hint="eastAsia"/>
          <w:sz w:val="28"/>
          <w:szCs w:val="28"/>
        </w:rPr>
        <w:t>沒入</w:t>
      </w:r>
      <w:r w:rsidR="00A6363B">
        <w:rPr>
          <w:rFonts w:ascii="標楷體" w:eastAsia="標楷體" w:hAnsi="標楷體" w:hint="eastAsia"/>
          <w:sz w:val="28"/>
          <w:szCs w:val="28"/>
        </w:rPr>
        <w:t>之裝置高音量喇叭或其他產生噪音器物者，依法沒入</w:t>
      </w:r>
      <w:r w:rsidRPr="00935D85">
        <w:rPr>
          <w:rFonts w:ascii="標楷體" w:eastAsia="標楷體" w:hAnsi="標楷體" w:hint="eastAsia"/>
          <w:sz w:val="28"/>
          <w:szCs w:val="28"/>
        </w:rPr>
        <w:t>。</w:t>
      </w:r>
    </w:p>
    <w:p w:rsidR="00A6363B" w:rsidRDefault="00935D85" w:rsidP="00A6363B">
      <w:pPr>
        <w:pStyle w:val="a3"/>
        <w:numPr>
          <w:ilvl w:val="0"/>
          <w:numId w:val="1"/>
        </w:numPr>
        <w:adjustRightInd w:val="0"/>
        <w:snapToGrid w:val="0"/>
        <w:ind w:leftChars="59" w:left="850" w:hangingChars="253" w:hanging="708"/>
        <w:rPr>
          <w:rFonts w:ascii="標楷體" w:eastAsia="標楷體" w:hAnsi="標楷體"/>
          <w:sz w:val="28"/>
          <w:szCs w:val="28"/>
        </w:rPr>
      </w:pPr>
      <w:r w:rsidRPr="00935D85">
        <w:rPr>
          <w:rFonts w:ascii="標楷體" w:eastAsia="標楷體" w:hAnsi="標楷體" w:hint="eastAsia"/>
          <w:sz w:val="28"/>
          <w:szCs w:val="28"/>
        </w:rPr>
        <w:t>委託廠商代為保管沒入車輛時，應逐車拍照、過磅、登記後，將保管單、清冊、照片、</w:t>
      </w:r>
      <w:proofErr w:type="gramStart"/>
      <w:r w:rsidRPr="00935D85">
        <w:rPr>
          <w:rFonts w:ascii="標楷體" w:eastAsia="標楷體" w:hAnsi="標楷體" w:hint="eastAsia"/>
          <w:sz w:val="28"/>
          <w:szCs w:val="28"/>
        </w:rPr>
        <w:t>磅單及</w:t>
      </w:r>
      <w:proofErr w:type="gramEnd"/>
      <w:r w:rsidRPr="00935D85">
        <w:rPr>
          <w:rFonts w:ascii="標楷體" w:eastAsia="標楷體" w:hAnsi="標楷體" w:hint="eastAsia"/>
          <w:sz w:val="28"/>
          <w:szCs w:val="28"/>
        </w:rPr>
        <w:t>舉發違反道路交通管理事件通知單移交裁決處。</w:t>
      </w:r>
    </w:p>
    <w:p w:rsidR="00935D85" w:rsidRDefault="00935D85" w:rsidP="00935D85">
      <w:pPr>
        <w:pStyle w:val="a3"/>
        <w:numPr>
          <w:ilvl w:val="0"/>
          <w:numId w:val="1"/>
        </w:numPr>
        <w:adjustRightInd w:val="0"/>
        <w:snapToGrid w:val="0"/>
        <w:ind w:leftChars="59" w:left="850" w:hangingChars="253" w:hanging="708"/>
        <w:rPr>
          <w:rFonts w:ascii="標楷體" w:eastAsia="標楷體" w:hAnsi="標楷體"/>
          <w:sz w:val="28"/>
          <w:szCs w:val="28"/>
        </w:rPr>
      </w:pPr>
      <w:r w:rsidRPr="00935D85">
        <w:rPr>
          <w:rFonts w:ascii="標楷體" w:eastAsia="標楷體" w:hAnsi="標楷體" w:hint="eastAsia"/>
          <w:sz w:val="28"/>
          <w:szCs w:val="28"/>
        </w:rPr>
        <w:t>裁決處對於沒入車輛之交通違規案件，應於裁決確定後，會同委託廠商派員至車輛保管場地辦理點交，並即依程序辦理銷毀作業；非屬應沒入車輛，應由原舉發單位通知原車輛所有人領回。</w:t>
      </w:r>
    </w:p>
    <w:p w:rsidR="00935D85" w:rsidRPr="00935D85" w:rsidRDefault="00935D85" w:rsidP="00935D85">
      <w:pPr>
        <w:pStyle w:val="a3"/>
        <w:numPr>
          <w:ilvl w:val="0"/>
          <w:numId w:val="1"/>
        </w:numPr>
        <w:adjustRightInd w:val="0"/>
        <w:snapToGrid w:val="0"/>
        <w:ind w:leftChars="59" w:left="850" w:hangingChars="253" w:hanging="708"/>
        <w:rPr>
          <w:rFonts w:ascii="標楷體" w:eastAsia="標楷體" w:hAnsi="標楷體"/>
          <w:sz w:val="28"/>
          <w:szCs w:val="28"/>
        </w:rPr>
      </w:pPr>
      <w:r w:rsidRPr="00935D85">
        <w:rPr>
          <w:rFonts w:ascii="標楷體" w:eastAsia="標楷體" w:hAnsi="標楷體" w:hint="eastAsia"/>
          <w:sz w:val="28"/>
          <w:szCs w:val="28"/>
        </w:rPr>
        <w:t>委託廠商對於沒入之車輛，應集中保管，並保持車輛之完整，不得擅自使用或變更（含其零件），若有違反相關法律規定者，應自負民、刑事責任。</w:t>
      </w:r>
    </w:p>
    <w:p w:rsidR="00935D85" w:rsidRDefault="00935D85" w:rsidP="00935D85">
      <w:pPr>
        <w:pStyle w:val="a3"/>
        <w:adjustRightInd w:val="0"/>
        <w:snapToGrid w:val="0"/>
        <w:ind w:leftChars="0" w:left="850"/>
        <w:rPr>
          <w:rFonts w:ascii="標楷體" w:eastAsia="標楷體" w:hAnsi="標楷體"/>
          <w:sz w:val="28"/>
          <w:szCs w:val="28"/>
        </w:rPr>
      </w:pPr>
      <w:r w:rsidRPr="00935D85">
        <w:rPr>
          <w:rFonts w:ascii="標楷體" w:eastAsia="標楷體" w:hAnsi="標楷體" w:hint="eastAsia"/>
          <w:sz w:val="28"/>
          <w:szCs w:val="28"/>
        </w:rPr>
        <w:t>其保管沒入車輛之場所，應以數位錄影設備全程監控。</w:t>
      </w:r>
    </w:p>
    <w:p w:rsidR="00A6363B" w:rsidRPr="000B636A" w:rsidRDefault="00A6363B" w:rsidP="00A6363B">
      <w:pPr>
        <w:pStyle w:val="a3"/>
        <w:numPr>
          <w:ilvl w:val="0"/>
          <w:numId w:val="1"/>
        </w:numPr>
        <w:adjustRightInd w:val="0"/>
        <w:snapToGrid w:val="0"/>
        <w:ind w:leftChars="59" w:left="850" w:hangingChars="253" w:hanging="708"/>
        <w:rPr>
          <w:rFonts w:ascii="標楷體" w:eastAsia="標楷體" w:hAnsi="標楷體"/>
          <w:sz w:val="28"/>
          <w:szCs w:val="28"/>
        </w:rPr>
      </w:pPr>
      <w:r w:rsidRPr="003540FE">
        <w:rPr>
          <w:rFonts w:ascii="標楷體" w:eastAsia="標楷體" w:hAnsi="標楷體" w:hint="eastAsia"/>
          <w:sz w:val="28"/>
          <w:szCs w:val="28"/>
        </w:rPr>
        <w:t>執行銷毀沒入車</w:t>
      </w:r>
      <w:r>
        <w:rPr>
          <w:rFonts w:ascii="標楷體" w:eastAsia="標楷體" w:hAnsi="標楷體" w:hint="eastAsia"/>
          <w:sz w:val="28"/>
          <w:szCs w:val="28"/>
        </w:rPr>
        <w:t>輛前，應先行核對應銷毀車輛</w:t>
      </w:r>
      <w:r w:rsidRPr="000B636A">
        <w:rPr>
          <w:rFonts w:ascii="標楷體" w:eastAsia="標楷體" w:hAnsi="標楷體" w:hint="eastAsia"/>
          <w:sz w:val="28"/>
          <w:szCs w:val="28"/>
        </w:rPr>
        <w:t>數目、類別與清冊所載之內容是否相符，有疑義時，應將沒入車輛移回原保管場地，於查明原因後銷毀。</w:t>
      </w:r>
    </w:p>
    <w:p w:rsidR="00A6363B" w:rsidRPr="00935D85" w:rsidRDefault="00A6363B" w:rsidP="00A6363B">
      <w:pPr>
        <w:pStyle w:val="a3"/>
        <w:adjustRightInd w:val="0"/>
        <w:snapToGrid w:val="0"/>
        <w:ind w:leftChars="0" w:left="850"/>
        <w:rPr>
          <w:rFonts w:ascii="標楷體" w:eastAsia="標楷體" w:hAnsi="標楷體"/>
          <w:sz w:val="28"/>
          <w:szCs w:val="28"/>
        </w:rPr>
      </w:pPr>
      <w:r w:rsidRPr="000B636A">
        <w:rPr>
          <w:rFonts w:ascii="標楷體" w:eastAsia="標楷體" w:hAnsi="標楷體" w:hint="eastAsia"/>
          <w:sz w:val="28"/>
          <w:szCs w:val="28"/>
        </w:rPr>
        <w:t>車輛銷毀時，由受委託廠商當場將車輛引擎、主要車軸、</w:t>
      </w:r>
      <w:r w:rsidRPr="003540FE">
        <w:rPr>
          <w:rFonts w:ascii="標楷體" w:eastAsia="標楷體" w:hAnsi="標楷體" w:hint="eastAsia"/>
          <w:sz w:val="28"/>
          <w:szCs w:val="28"/>
        </w:rPr>
        <w:t>大樑、</w:t>
      </w:r>
      <w:proofErr w:type="gramStart"/>
      <w:r w:rsidRPr="003540FE">
        <w:rPr>
          <w:rFonts w:ascii="標楷體" w:eastAsia="標楷體" w:hAnsi="標楷體" w:hint="eastAsia"/>
          <w:sz w:val="28"/>
          <w:szCs w:val="28"/>
        </w:rPr>
        <w:t>車輛外身</w:t>
      </w:r>
      <w:proofErr w:type="gramEnd"/>
      <w:r w:rsidRPr="003540FE">
        <w:rPr>
          <w:rFonts w:ascii="標楷體" w:eastAsia="標楷體" w:hAnsi="標楷體" w:hint="eastAsia"/>
          <w:sz w:val="28"/>
          <w:szCs w:val="28"/>
        </w:rPr>
        <w:t>、汽缸主體、變速器外殼、差速器外殼、避震系統、輪圈、煞車系統、動力器具切割或撞擊破裂，使達不堪使用程度後，作成監督銷毀紀錄並拍照存證。</w:t>
      </w:r>
    </w:p>
    <w:p w:rsidR="00935D85" w:rsidRPr="00935D85" w:rsidRDefault="00935D85" w:rsidP="00935D85">
      <w:pPr>
        <w:pStyle w:val="a3"/>
        <w:numPr>
          <w:ilvl w:val="0"/>
          <w:numId w:val="1"/>
        </w:numPr>
        <w:adjustRightInd w:val="0"/>
        <w:snapToGrid w:val="0"/>
        <w:ind w:leftChars="59" w:left="850" w:hangingChars="253" w:hanging="708"/>
        <w:rPr>
          <w:rFonts w:ascii="標楷體" w:eastAsia="標楷體" w:hAnsi="標楷體" w:cs="新細明體"/>
          <w:sz w:val="28"/>
          <w:szCs w:val="28"/>
        </w:rPr>
      </w:pPr>
      <w:r w:rsidRPr="00935D85">
        <w:rPr>
          <w:rFonts w:ascii="標楷體" w:eastAsia="標楷體" w:hAnsi="標楷體" w:hint="eastAsia"/>
          <w:sz w:val="28"/>
          <w:szCs w:val="28"/>
        </w:rPr>
        <w:t>進行沒入車輛銷毀作業時，應由裁決處、警察機關及公路監理機關，各依其權責辦理下列事項：</w:t>
      </w:r>
    </w:p>
    <w:p w:rsidR="00935D85" w:rsidRPr="00935D85" w:rsidRDefault="00935D85" w:rsidP="00935D85">
      <w:pPr>
        <w:numPr>
          <w:ilvl w:val="0"/>
          <w:numId w:val="4"/>
        </w:numPr>
        <w:adjustRightInd w:val="0"/>
        <w:snapToGrid w:val="0"/>
        <w:ind w:left="1134" w:hanging="709"/>
        <w:rPr>
          <w:rFonts w:ascii="標楷體" w:eastAsia="標楷體" w:hAnsi="標楷體" w:cs="新細明體"/>
          <w:sz w:val="28"/>
          <w:szCs w:val="28"/>
        </w:rPr>
      </w:pPr>
      <w:r w:rsidRPr="00935D85">
        <w:rPr>
          <w:rFonts w:ascii="標楷體" w:eastAsia="標楷體" w:hAnsi="標楷體" w:hint="eastAsia"/>
          <w:sz w:val="28"/>
          <w:szCs w:val="28"/>
        </w:rPr>
        <w:lastRenderedPageBreak/>
        <w:t>裁決處：確認該交通違規案件是否裁決確定，保管單與清冊所載之資料是否與移送至委託廠商處之沒入車輛相同。政風人員負責監督委託廠商進行銷毀沒入車輛作業之程序，但不含主辦之實質及技術事項。</w:t>
      </w:r>
    </w:p>
    <w:p w:rsidR="00935D85" w:rsidRPr="00935D85" w:rsidRDefault="00935D85" w:rsidP="00935D85">
      <w:pPr>
        <w:numPr>
          <w:ilvl w:val="0"/>
          <w:numId w:val="4"/>
        </w:numPr>
        <w:adjustRightInd w:val="0"/>
        <w:snapToGrid w:val="0"/>
        <w:ind w:left="1134" w:hanging="709"/>
        <w:rPr>
          <w:rFonts w:ascii="標楷體" w:eastAsia="標楷體" w:hAnsi="標楷體" w:cs="新細明體"/>
          <w:sz w:val="28"/>
          <w:szCs w:val="28"/>
        </w:rPr>
      </w:pPr>
      <w:r w:rsidRPr="00935D85">
        <w:rPr>
          <w:rFonts w:ascii="標楷體" w:eastAsia="標楷體" w:hAnsi="標楷體" w:hint="eastAsia"/>
          <w:sz w:val="28"/>
          <w:szCs w:val="28"/>
        </w:rPr>
        <w:t>警察機關：確認保管單與清冊所載之資料是否與移送至委託廠商之沒入車輛相同。</w:t>
      </w:r>
    </w:p>
    <w:p w:rsidR="00935D85" w:rsidRPr="00935D85" w:rsidRDefault="00935D85" w:rsidP="00935D85">
      <w:pPr>
        <w:numPr>
          <w:ilvl w:val="0"/>
          <w:numId w:val="4"/>
        </w:numPr>
        <w:adjustRightInd w:val="0"/>
        <w:snapToGrid w:val="0"/>
        <w:ind w:left="1134" w:hanging="709"/>
        <w:rPr>
          <w:rFonts w:ascii="標楷體" w:eastAsia="標楷體" w:hAnsi="標楷體" w:cs="新細明體"/>
          <w:sz w:val="28"/>
          <w:szCs w:val="28"/>
        </w:rPr>
      </w:pPr>
      <w:r w:rsidRPr="00935D85">
        <w:rPr>
          <w:rFonts w:ascii="標楷體" w:eastAsia="標楷體" w:hAnsi="標楷體" w:hint="eastAsia"/>
          <w:sz w:val="28"/>
          <w:szCs w:val="28"/>
        </w:rPr>
        <w:t>公路監理機關：確認沒入之車輛於進行銷毀作業後，已達不堪使用之程度。</w:t>
      </w:r>
    </w:p>
    <w:p w:rsidR="00935D85" w:rsidRPr="00935D85" w:rsidRDefault="00935D85" w:rsidP="00935D85">
      <w:pPr>
        <w:pStyle w:val="a3"/>
        <w:numPr>
          <w:ilvl w:val="0"/>
          <w:numId w:val="1"/>
        </w:numPr>
        <w:adjustRightInd w:val="0"/>
        <w:snapToGrid w:val="0"/>
        <w:ind w:leftChars="59" w:left="850" w:hangingChars="253" w:hanging="708"/>
        <w:rPr>
          <w:rFonts w:ascii="標楷體" w:eastAsia="標楷體" w:hAnsi="標楷體" w:cs="新細明體"/>
          <w:sz w:val="28"/>
          <w:szCs w:val="28"/>
        </w:rPr>
      </w:pPr>
      <w:r w:rsidRPr="00935D85">
        <w:rPr>
          <w:rFonts w:ascii="標楷體" w:eastAsia="標楷體" w:hAnsi="標楷體" w:hint="eastAsia"/>
          <w:sz w:val="28"/>
          <w:szCs w:val="28"/>
        </w:rPr>
        <w:t>經銷毀之沒入車輛，由裁決處依廢鐵實際重量，按委託契約約定價格售予委託廠商。</w:t>
      </w:r>
    </w:p>
    <w:p w:rsidR="00935D85" w:rsidRDefault="00935D85" w:rsidP="00935D85">
      <w:pPr>
        <w:pStyle w:val="a3"/>
        <w:numPr>
          <w:ilvl w:val="0"/>
          <w:numId w:val="1"/>
        </w:numPr>
        <w:adjustRightInd w:val="0"/>
        <w:snapToGrid w:val="0"/>
        <w:ind w:leftChars="59" w:left="850" w:hangingChars="253" w:hanging="708"/>
        <w:rPr>
          <w:rFonts w:ascii="標楷體" w:eastAsia="標楷體" w:hAnsi="標楷體"/>
          <w:sz w:val="28"/>
          <w:szCs w:val="28"/>
        </w:rPr>
        <w:sectPr w:rsidR="00935D85">
          <w:pgSz w:w="11906" w:h="16838"/>
          <w:pgMar w:top="1440" w:right="1800" w:bottom="1440" w:left="1800" w:header="851" w:footer="992" w:gutter="0"/>
          <w:cols w:space="425"/>
          <w:docGrid w:type="lines" w:linePitch="360"/>
        </w:sectPr>
      </w:pPr>
      <w:r w:rsidRPr="00935D85">
        <w:rPr>
          <w:rFonts w:ascii="標楷體" w:eastAsia="標楷體" w:hAnsi="標楷體" w:hint="eastAsia"/>
          <w:sz w:val="28"/>
          <w:szCs w:val="28"/>
        </w:rPr>
        <w:t>銷毀沒入車輛所得之價款，應依規定繳庫，其搬運費用及其他必要之費用，由裁決處依相關預算程序辦理。</w:t>
      </w:r>
    </w:p>
    <w:p w:rsidR="00935D85" w:rsidRPr="00935D85" w:rsidRDefault="00935D85" w:rsidP="00935D85">
      <w:pPr>
        <w:snapToGrid w:val="0"/>
        <w:spacing w:beforeLines="50" w:before="120" w:afterLines="50" w:after="120"/>
        <w:rPr>
          <w:rFonts w:eastAsia="標楷體"/>
          <w:bCs/>
          <w:sz w:val="28"/>
          <w:bdr w:val="single" w:sz="4" w:space="0" w:color="auto"/>
        </w:rPr>
      </w:pPr>
      <w:r w:rsidRPr="00935D85">
        <w:rPr>
          <w:rFonts w:eastAsia="標楷體" w:hint="eastAsia"/>
          <w:bCs/>
          <w:sz w:val="28"/>
          <w:bdr w:val="single" w:sz="4" w:space="0" w:color="auto"/>
        </w:rPr>
        <w:lastRenderedPageBreak/>
        <w:t>附件</w:t>
      </w:r>
    </w:p>
    <w:p w:rsidR="00935D85" w:rsidRPr="00935D85" w:rsidRDefault="00935D85" w:rsidP="00935D85">
      <w:pPr>
        <w:snapToGrid w:val="0"/>
        <w:spacing w:beforeLines="50" w:before="120" w:afterLines="50" w:after="120"/>
        <w:rPr>
          <w:rFonts w:eastAsia="標楷體"/>
          <w:bCs/>
          <w:sz w:val="28"/>
        </w:rPr>
      </w:pPr>
      <w:r w:rsidRPr="00935D85">
        <w:rPr>
          <w:rFonts w:eastAsia="標楷體" w:hint="eastAsia"/>
          <w:bCs/>
          <w:sz w:val="28"/>
        </w:rPr>
        <w:t>沒入車輛移送清冊</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0"/>
        <w:gridCol w:w="500"/>
        <w:gridCol w:w="500"/>
        <w:gridCol w:w="500"/>
        <w:gridCol w:w="500"/>
        <w:gridCol w:w="486"/>
        <w:gridCol w:w="399"/>
        <w:gridCol w:w="399"/>
        <w:gridCol w:w="399"/>
        <w:gridCol w:w="517"/>
        <w:gridCol w:w="400"/>
        <w:gridCol w:w="400"/>
        <w:gridCol w:w="400"/>
        <w:gridCol w:w="500"/>
        <w:gridCol w:w="600"/>
      </w:tblGrid>
      <w:tr w:rsidR="00935D85" w:rsidTr="000D4079">
        <w:trPr>
          <w:trHeight w:val="2253"/>
        </w:trPr>
        <w:tc>
          <w:tcPr>
            <w:tcW w:w="500"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編號</w:t>
            </w:r>
          </w:p>
        </w:tc>
        <w:tc>
          <w:tcPr>
            <w:tcW w:w="500"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車主姓名</w:t>
            </w:r>
          </w:p>
        </w:tc>
        <w:tc>
          <w:tcPr>
            <w:tcW w:w="500"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身分證統一編號</w:t>
            </w:r>
          </w:p>
        </w:tc>
        <w:tc>
          <w:tcPr>
            <w:tcW w:w="500"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車主地址</w:t>
            </w:r>
          </w:p>
        </w:tc>
        <w:tc>
          <w:tcPr>
            <w:tcW w:w="500" w:type="dxa"/>
            <w:textDirection w:val="tbRlV"/>
            <w:vAlign w:val="center"/>
          </w:tcPr>
          <w:p w:rsidR="00935D85" w:rsidRDefault="00935D85" w:rsidP="000D4079">
            <w:pPr>
              <w:ind w:left="113" w:right="113"/>
              <w:jc w:val="distribute"/>
              <w:rPr>
                <w:rFonts w:ascii="標楷體" w:eastAsia="標楷體"/>
              </w:rPr>
            </w:pPr>
            <w:proofErr w:type="gramStart"/>
            <w:r>
              <w:rPr>
                <w:rFonts w:ascii="標楷體" w:eastAsia="標楷體" w:hint="eastAsia"/>
              </w:rPr>
              <w:t>輪數</w:t>
            </w:r>
            <w:proofErr w:type="gramEnd"/>
          </w:p>
        </w:tc>
        <w:tc>
          <w:tcPr>
            <w:tcW w:w="486"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排氣量</w:t>
            </w:r>
          </w:p>
        </w:tc>
        <w:tc>
          <w:tcPr>
            <w:tcW w:w="399"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燃料種類</w:t>
            </w:r>
          </w:p>
        </w:tc>
        <w:tc>
          <w:tcPr>
            <w:tcW w:w="399"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車重</w:t>
            </w:r>
          </w:p>
        </w:tc>
        <w:tc>
          <w:tcPr>
            <w:tcW w:w="399" w:type="dxa"/>
            <w:textDirection w:val="tbRlV"/>
            <w:vAlign w:val="center"/>
          </w:tcPr>
          <w:p w:rsidR="00935D85" w:rsidRDefault="00935D85" w:rsidP="000D4079">
            <w:pPr>
              <w:ind w:left="113" w:right="113"/>
              <w:jc w:val="distribute"/>
              <w:rPr>
                <w:rFonts w:ascii="標楷體" w:eastAsia="標楷體"/>
              </w:rPr>
            </w:pPr>
            <w:proofErr w:type="gramStart"/>
            <w:r>
              <w:rPr>
                <w:rFonts w:ascii="標楷體" w:eastAsia="標楷體" w:hint="eastAsia"/>
              </w:rPr>
              <w:t>軸數</w:t>
            </w:r>
            <w:proofErr w:type="gramEnd"/>
          </w:p>
        </w:tc>
        <w:tc>
          <w:tcPr>
            <w:tcW w:w="517"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引擎號碼</w:t>
            </w:r>
          </w:p>
        </w:tc>
        <w:tc>
          <w:tcPr>
            <w:tcW w:w="400"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已用年數</w:t>
            </w:r>
          </w:p>
        </w:tc>
        <w:tc>
          <w:tcPr>
            <w:tcW w:w="400"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廠牌</w:t>
            </w:r>
          </w:p>
        </w:tc>
        <w:tc>
          <w:tcPr>
            <w:tcW w:w="400"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車長</w:t>
            </w:r>
          </w:p>
        </w:tc>
        <w:tc>
          <w:tcPr>
            <w:tcW w:w="500" w:type="dxa"/>
            <w:textDirection w:val="tbRlV"/>
            <w:vAlign w:val="center"/>
          </w:tcPr>
          <w:p w:rsidR="00935D85" w:rsidRDefault="00935D85" w:rsidP="000D4079">
            <w:pPr>
              <w:ind w:left="113" w:right="113"/>
              <w:jc w:val="distribute"/>
              <w:rPr>
                <w:rFonts w:ascii="標楷體" w:eastAsia="標楷體"/>
              </w:rPr>
            </w:pPr>
            <w:proofErr w:type="gramStart"/>
            <w:r>
              <w:rPr>
                <w:rFonts w:ascii="標楷體" w:eastAsia="標楷體" w:hint="eastAsia"/>
              </w:rPr>
              <w:t>車寬</w:t>
            </w:r>
            <w:proofErr w:type="gramEnd"/>
          </w:p>
        </w:tc>
        <w:tc>
          <w:tcPr>
            <w:tcW w:w="600" w:type="dxa"/>
            <w:textDirection w:val="tbRlV"/>
            <w:vAlign w:val="center"/>
          </w:tcPr>
          <w:p w:rsidR="00935D85" w:rsidRDefault="00935D85" w:rsidP="000D4079">
            <w:pPr>
              <w:ind w:left="113" w:right="113"/>
              <w:jc w:val="distribute"/>
              <w:rPr>
                <w:rFonts w:ascii="標楷體" w:eastAsia="標楷體"/>
              </w:rPr>
            </w:pPr>
            <w:r>
              <w:rPr>
                <w:rFonts w:ascii="標楷體" w:eastAsia="標楷體" w:hint="eastAsia"/>
              </w:rPr>
              <w:t>顏色</w:t>
            </w:r>
          </w:p>
        </w:tc>
      </w:tr>
      <w:tr w:rsidR="00935D85" w:rsidTr="000D4079">
        <w:trPr>
          <w:trHeight w:val="1876"/>
        </w:trPr>
        <w:tc>
          <w:tcPr>
            <w:tcW w:w="500" w:type="dxa"/>
          </w:tcPr>
          <w:p w:rsidR="00935D85" w:rsidRDefault="00935D85" w:rsidP="000D4079">
            <w:pPr>
              <w:snapToGrid w:val="0"/>
              <w:spacing w:beforeLines="50" w:before="120" w:afterLines="50" w:after="120"/>
              <w:rPr>
                <w:rFonts w:eastAsia="標楷體"/>
                <w:bCs/>
              </w:rPr>
            </w:pPr>
          </w:p>
        </w:tc>
        <w:tc>
          <w:tcPr>
            <w:tcW w:w="500" w:type="dxa"/>
          </w:tcPr>
          <w:p w:rsidR="00935D85" w:rsidRDefault="00935D85" w:rsidP="000D4079">
            <w:pPr>
              <w:snapToGrid w:val="0"/>
              <w:spacing w:beforeLines="50" w:before="120" w:afterLines="50" w:after="120"/>
              <w:rPr>
                <w:rFonts w:eastAsia="標楷體"/>
                <w:bCs/>
              </w:rPr>
            </w:pPr>
          </w:p>
        </w:tc>
        <w:tc>
          <w:tcPr>
            <w:tcW w:w="500" w:type="dxa"/>
          </w:tcPr>
          <w:p w:rsidR="00935D85" w:rsidRDefault="00935D85" w:rsidP="000D4079">
            <w:pPr>
              <w:snapToGrid w:val="0"/>
              <w:spacing w:beforeLines="50" w:before="120" w:afterLines="50" w:after="120"/>
              <w:rPr>
                <w:rFonts w:eastAsia="標楷體"/>
                <w:bCs/>
              </w:rPr>
            </w:pPr>
          </w:p>
        </w:tc>
        <w:tc>
          <w:tcPr>
            <w:tcW w:w="500" w:type="dxa"/>
          </w:tcPr>
          <w:p w:rsidR="00935D85" w:rsidRDefault="00935D85" w:rsidP="000D4079">
            <w:pPr>
              <w:snapToGrid w:val="0"/>
              <w:spacing w:beforeLines="50" w:before="120" w:afterLines="50" w:after="120"/>
              <w:rPr>
                <w:rFonts w:eastAsia="標楷體"/>
                <w:bCs/>
              </w:rPr>
            </w:pPr>
          </w:p>
        </w:tc>
        <w:tc>
          <w:tcPr>
            <w:tcW w:w="500" w:type="dxa"/>
          </w:tcPr>
          <w:p w:rsidR="00935D85" w:rsidRDefault="00935D85" w:rsidP="000D4079">
            <w:pPr>
              <w:snapToGrid w:val="0"/>
              <w:spacing w:beforeLines="50" w:before="120" w:afterLines="50" w:after="120"/>
              <w:rPr>
                <w:rFonts w:eastAsia="標楷體"/>
                <w:bCs/>
              </w:rPr>
            </w:pPr>
          </w:p>
        </w:tc>
        <w:tc>
          <w:tcPr>
            <w:tcW w:w="486" w:type="dxa"/>
          </w:tcPr>
          <w:p w:rsidR="00935D85" w:rsidRDefault="00935D85" w:rsidP="000D4079">
            <w:pPr>
              <w:snapToGrid w:val="0"/>
              <w:spacing w:beforeLines="50" w:before="120" w:afterLines="50" w:after="120"/>
              <w:rPr>
                <w:rFonts w:eastAsia="標楷體"/>
                <w:bCs/>
              </w:rPr>
            </w:pPr>
          </w:p>
        </w:tc>
        <w:tc>
          <w:tcPr>
            <w:tcW w:w="399" w:type="dxa"/>
          </w:tcPr>
          <w:p w:rsidR="00935D85" w:rsidRDefault="00935D85" w:rsidP="000D4079">
            <w:pPr>
              <w:snapToGrid w:val="0"/>
              <w:spacing w:beforeLines="50" w:before="120" w:afterLines="50" w:after="120"/>
              <w:rPr>
                <w:rFonts w:eastAsia="標楷體"/>
                <w:bCs/>
              </w:rPr>
            </w:pPr>
          </w:p>
        </w:tc>
        <w:tc>
          <w:tcPr>
            <w:tcW w:w="399" w:type="dxa"/>
          </w:tcPr>
          <w:p w:rsidR="00935D85" w:rsidRDefault="00935D85" w:rsidP="000D4079">
            <w:pPr>
              <w:snapToGrid w:val="0"/>
              <w:spacing w:beforeLines="50" w:before="120" w:afterLines="50" w:after="120"/>
              <w:rPr>
                <w:rFonts w:eastAsia="標楷體"/>
                <w:bCs/>
              </w:rPr>
            </w:pPr>
          </w:p>
        </w:tc>
        <w:tc>
          <w:tcPr>
            <w:tcW w:w="399" w:type="dxa"/>
          </w:tcPr>
          <w:p w:rsidR="00935D85" w:rsidRDefault="00935D85" w:rsidP="000D4079">
            <w:pPr>
              <w:snapToGrid w:val="0"/>
              <w:spacing w:beforeLines="50" w:before="120" w:afterLines="50" w:after="120"/>
              <w:rPr>
                <w:rFonts w:eastAsia="標楷體"/>
                <w:bCs/>
              </w:rPr>
            </w:pPr>
          </w:p>
        </w:tc>
        <w:tc>
          <w:tcPr>
            <w:tcW w:w="517" w:type="dxa"/>
          </w:tcPr>
          <w:p w:rsidR="00935D85" w:rsidRDefault="00935D85" w:rsidP="000D4079">
            <w:pPr>
              <w:snapToGrid w:val="0"/>
              <w:spacing w:beforeLines="50" w:before="120" w:afterLines="50" w:after="120"/>
              <w:rPr>
                <w:rFonts w:eastAsia="標楷體"/>
                <w:bCs/>
              </w:rPr>
            </w:pPr>
          </w:p>
        </w:tc>
        <w:tc>
          <w:tcPr>
            <w:tcW w:w="400" w:type="dxa"/>
          </w:tcPr>
          <w:p w:rsidR="00935D85" w:rsidRDefault="00935D85" w:rsidP="000D4079">
            <w:pPr>
              <w:snapToGrid w:val="0"/>
              <w:spacing w:beforeLines="50" w:before="120" w:afterLines="50" w:after="120"/>
              <w:rPr>
                <w:rFonts w:eastAsia="標楷體"/>
                <w:bCs/>
              </w:rPr>
            </w:pPr>
          </w:p>
        </w:tc>
        <w:tc>
          <w:tcPr>
            <w:tcW w:w="400" w:type="dxa"/>
          </w:tcPr>
          <w:p w:rsidR="00935D85" w:rsidRDefault="00935D85" w:rsidP="000D4079">
            <w:pPr>
              <w:snapToGrid w:val="0"/>
              <w:spacing w:beforeLines="50" w:before="120" w:afterLines="50" w:after="120"/>
              <w:rPr>
                <w:rFonts w:eastAsia="標楷體"/>
                <w:bCs/>
              </w:rPr>
            </w:pPr>
          </w:p>
        </w:tc>
        <w:tc>
          <w:tcPr>
            <w:tcW w:w="400" w:type="dxa"/>
          </w:tcPr>
          <w:p w:rsidR="00935D85" w:rsidRDefault="00935D85" w:rsidP="000D4079">
            <w:pPr>
              <w:snapToGrid w:val="0"/>
              <w:spacing w:beforeLines="50" w:before="120" w:afterLines="50" w:after="120"/>
              <w:rPr>
                <w:rFonts w:eastAsia="標楷體"/>
                <w:bCs/>
              </w:rPr>
            </w:pPr>
          </w:p>
        </w:tc>
        <w:tc>
          <w:tcPr>
            <w:tcW w:w="500" w:type="dxa"/>
          </w:tcPr>
          <w:p w:rsidR="00935D85" w:rsidRDefault="00935D85" w:rsidP="000D4079">
            <w:pPr>
              <w:snapToGrid w:val="0"/>
              <w:spacing w:beforeLines="50" w:before="120" w:afterLines="50" w:after="120"/>
              <w:rPr>
                <w:rFonts w:eastAsia="標楷體"/>
                <w:bCs/>
              </w:rPr>
            </w:pPr>
          </w:p>
        </w:tc>
        <w:tc>
          <w:tcPr>
            <w:tcW w:w="600" w:type="dxa"/>
          </w:tcPr>
          <w:p w:rsidR="00935D85" w:rsidRDefault="00935D85" w:rsidP="000D4079">
            <w:pPr>
              <w:snapToGrid w:val="0"/>
              <w:spacing w:beforeLines="50" w:before="120" w:afterLines="50" w:after="120"/>
              <w:rPr>
                <w:rFonts w:eastAsia="標楷體"/>
                <w:bCs/>
              </w:rPr>
            </w:pPr>
          </w:p>
        </w:tc>
      </w:tr>
    </w:tbl>
    <w:p w:rsidR="00935D85" w:rsidRPr="00935D85" w:rsidRDefault="00935D85" w:rsidP="00935D85">
      <w:pPr>
        <w:snapToGrid w:val="0"/>
        <w:spacing w:beforeLines="50" w:before="120" w:afterLines="50" w:after="120"/>
        <w:rPr>
          <w:rFonts w:eastAsia="標楷體"/>
          <w:bCs/>
          <w:sz w:val="28"/>
        </w:rPr>
      </w:pPr>
      <w:r w:rsidRPr="00935D85">
        <w:rPr>
          <w:rFonts w:eastAsia="標楷體" w:hint="eastAsia"/>
          <w:bCs/>
          <w:sz w:val="28"/>
        </w:rPr>
        <w:t>沒入物（高音喇叭或其他產生噪音物）移送清冊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5"/>
        <w:gridCol w:w="725"/>
        <w:gridCol w:w="726"/>
        <w:gridCol w:w="726"/>
        <w:gridCol w:w="726"/>
        <w:gridCol w:w="726"/>
        <w:gridCol w:w="726"/>
      </w:tblGrid>
      <w:tr w:rsidR="00935D85" w:rsidTr="000D4079">
        <w:trPr>
          <w:trHeight w:val="2155"/>
        </w:trPr>
        <w:tc>
          <w:tcPr>
            <w:tcW w:w="725" w:type="dxa"/>
            <w:textDirection w:val="tbRlV"/>
            <w:vAlign w:val="center"/>
          </w:tcPr>
          <w:p w:rsidR="00935D85" w:rsidRDefault="00935D85" w:rsidP="000D4079">
            <w:pPr>
              <w:ind w:left="113" w:right="113"/>
              <w:jc w:val="distribute"/>
              <w:rPr>
                <w:rFonts w:eastAsia="標楷體"/>
              </w:rPr>
            </w:pPr>
            <w:r>
              <w:rPr>
                <w:rFonts w:eastAsia="標楷體" w:hint="eastAsia"/>
              </w:rPr>
              <w:t>編號</w:t>
            </w:r>
          </w:p>
        </w:tc>
        <w:tc>
          <w:tcPr>
            <w:tcW w:w="725" w:type="dxa"/>
            <w:textDirection w:val="tbRlV"/>
            <w:vAlign w:val="center"/>
          </w:tcPr>
          <w:p w:rsidR="00935D85" w:rsidRDefault="00935D85" w:rsidP="000D4079">
            <w:pPr>
              <w:ind w:left="113" w:right="113"/>
              <w:jc w:val="distribute"/>
              <w:rPr>
                <w:rFonts w:eastAsia="標楷體"/>
              </w:rPr>
            </w:pPr>
            <w:r>
              <w:rPr>
                <w:rFonts w:eastAsia="標楷體" w:hint="eastAsia"/>
              </w:rPr>
              <w:t>車主姓名</w:t>
            </w:r>
          </w:p>
        </w:tc>
        <w:tc>
          <w:tcPr>
            <w:tcW w:w="726" w:type="dxa"/>
            <w:textDirection w:val="tbRlV"/>
            <w:vAlign w:val="center"/>
          </w:tcPr>
          <w:p w:rsidR="00935D85" w:rsidRDefault="00935D85" w:rsidP="000D4079">
            <w:pPr>
              <w:ind w:left="113" w:right="113"/>
              <w:jc w:val="distribute"/>
              <w:rPr>
                <w:rFonts w:eastAsia="標楷體"/>
              </w:rPr>
            </w:pPr>
            <w:r>
              <w:rPr>
                <w:rFonts w:eastAsia="標楷體" w:hint="eastAsia"/>
              </w:rPr>
              <w:t>身分證統一編號</w:t>
            </w:r>
          </w:p>
        </w:tc>
        <w:tc>
          <w:tcPr>
            <w:tcW w:w="726" w:type="dxa"/>
            <w:textDirection w:val="tbRlV"/>
            <w:vAlign w:val="center"/>
          </w:tcPr>
          <w:p w:rsidR="00935D85" w:rsidRDefault="00935D85" w:rsidP="000D4079">
            <w:pPr>
              <w:ind w:left="113" w:right="113"/>
              <w:jc w:val="distribute"/>
              <w:rPr>
                <w:rFonts w:eastAsia="標楷體"/>
              </w:rPr>
            </w:pPr>
            <w:r>
              <w:rPr>
                <w:rFonts w:eastAsia="標楷體" w:hint="eastAsia"/>
              </w:rPr>
              <w:t>地址</w:t>
            </w:r>
          </w:p>
        </w:tc>
        <w:tc>
          <w:tcPr>
            <w:tcW w:w="726" w:type="dxa"/>
            <w:textDirection w:val="tbRlV"/>
            <w:vAlign w:val="center"/>
          </w:tcPr>
          <w:p w:rsidR="00935D85" w:rsidRDefault="00935D85" w:rsidP="000D4079">
            <w:pPr>
              <w:ind w:left="113" w:right="113"/>
              <w:jc w:val="distribute"/>
              <w:rPr>
                <w:rFonts w:eastAsia="標楷體"/>
              </w:rPr>
            </w:pPr>
            <w:r>
              <w:rPr>
                <w:rFonts w:eastAsia="標楷體" w:hint="eastAsia"/>
              </w:rPr>
              <w:t>型式（規格）</w:t>
            </w:r>
          </w:p>
        </w:tc>
        <w:tc>
          <w:tcPr>
            <w:tcW w:w="726" w:type="dxa"/>
            <w:textDirection w:val="tbRlV"/>
            <w:vAlign w:val="center"/>
          </w:tcPr>
          <w:p w:rsidR="00935D85" w:rsidRDefault="00935D85" w:rsidP="000D4079">
            <w:pPr>
              <w:ind w:left="113" w:right="113"/>
              <w:jc w:val="distribute"/>
              <w:rPr>
                <w:rFonts w:eastAsia="標楷體"/>
              </w:rPr>
            </w:pPr>
            <w:r>
              <w:rPr>
                <w:rFonts w:eastAsia="標楷體" w:hint="eastAsia"/>
              </w:rPr>
              <w:t>數量</w:t>
            </w:r>
          </w:p>
        </w:tc>
        <w:tc>
          <w:tcPr>
            <w:tcW w:w="726" w:type="dxa"/>
            <w:textDirection w:val="tbRlV"/>
            <w:vAlign w:val="center"/>
          </w:tcPr>
          <w:p w:rsidR="00935D85" w:rsidRDefault="00935D85" w:rsidP="000D4079">
            <w:pPr>
              <w:ind w:left="113" w:right="113"/>
              <w:jc w:val="distribute"/>
              <w:rPr>
                <w:rFonts w:eastAsia="標楷體"/>
              </w:rPr>
            </w:pPr>
            <w:r>
              <w:rPr>
                <w:rFonts w:eastAsia="標楷體" w:hint="eastAsia"/>
              </w:rPr>
              <w:t>備註</w:t>
            </w:r>
          </w:p>
        </w:tc>
      </w:tr>
      <w:tr w:rsidR="00935D85" w:rsidTr="000D4079">
        <w:trPr>
          <w:trHeight w:val="2167"/>
        </w:trPr>
        <w:tc>
          <w:tcPr>
            <w:tcW w:w="725" w:type="dxa"/>
          </w:tcPr>
          <w:p w:rsidR="00935D85" w:rsidRDefault="00935D85" w:rsidP="000D4079">
            <w:pPr>
              <w:snapToGrid w:val="0"/>
              <w:spacing w:beforeLines="50" w:before="120" w:afterLines="50" w:after="120"/>
              <w:jc w:val="both"/>
              <w:rPr>
                <w:rFonts w:eastAsia="標楷體"/>
                <w:bCs/>
              </w:rPr>
            </w:pPr>
          </w:p>
        </w:tc>
        <w:tc>
          <w:tcPr>
            <w:tcW w:w="725" w:type="dxa"/>
          </w:tcPr>
          <w:p w:rsidR="00935D85" w:rsidRDefault="00935D85" w:rsidP="000D4079">
            <w:pPr>
              <w:snapToGrid w:val="0"/>
              <w:spacing w:beforeLines="50" w:before="120" w:afterLines="50" w:after="120"/>
              <w:jc w:val="both"/>
              <w:rPr>
                <w:rFonts w:eastAsia="標楷體"/>
                <w:bCs/>
              </w:rPr>
            </w:pPr>
          </w:p>
        </w:tc>
        <w:tc>
          <w:tcPr>
            <w:tcW w:w="726" w:type="dxa"/>
          </w:tcPr>
          <w:p w:rsidR="00935D85" w:rsidRDefault="00935D85" w:rsidP="000D4079">
            <w:pPr>
              <w:snapToGrid w:val="0"/>
              <w:spacing w:beforeLines="50" w:before="120" w:afterLines="50" w:after="120"/>
              <w:jc w:val="both"/>
              <w:rPr>
                <w:rFonts w:eastAsia="標楷體"/>
                <w:bCs/>
              </w:rPr>
            </w:pPr>
          </w:p>
        </w:tc>
        <w:tc>
          <w:tcPr>
            <w:tcW w:w="726" w:type="dxa"/>
          </w:tcPr>
          <w:p w:rsidR="00935D85" w:rsidRDefault="00935D85" w:rsidP="000D4079">
            <w:pPr>
              <w:snapToGrid w:val="0"/>
              <w:spacing w:beforeLines="50" w:before="120" w:afterLines="50" w:after="120"/>
              <w:jc w:val="both"/>
              <w:rPr>
                <w:rFonts w:eastAsia="標楷體"/>
                <w:bCs/>
              </w:rPr>
            </w:pPr>
          </w:p>
        </w:tc>
        <w:tc>
          <w:tcPr>
            <w:tcW w:w="726" w:type="dxa"/>
          </w:tcPr>
          <w:p w:rsidR="00935D85" w:rsidRDefault="00935D85" w:rsidP="000D4079">
            <w:pPr>
              <w:snapToGrid w:val="0"/>
              <w:spacing w:beforeLines="50" w:before="120" w:afterLines="50" w:after="120"/>
              <w:jc w:val="both"/>
              <w:rPr>
                <w:rFonts w:eastAsia="標楷體"/>
                <w:bCs/>
              </w:rPr>
            </w:pPr>
          </w:p>
        </w:tc>
        <w:tc>
          <w:tcPr>
            <w:tcW w:w="726" w:type="dxa"/>
          </w:tcPr>
          <w:p w:rsidR="00935D85" w:rsidRDefault="00935D85" w:rsidP="000D4079">
            <w:pPr>
              <w:snapToGrid w:val="0"/>
              <w:spacing w:beforeLines="50" w:before="120" w:afterLines="50" w:after="120"/>
              <w:jc w:val="both"/>
              <w:rPr>
                <w:rFonts w:eastAsia="標楷體"/>
                <w:bCs/>
              </w:rPr>
            </w:pPr>
          </w:p>
        </w:tc>
        <w:tc>
          <w:tcPr>
            <w:tcW w:w="726" w:type="dxa"/>
          </w:tcPr>
          <w:p w:rsidR="00935D85" w:rsidRDefault="00935D85" w:rsidP="000D4079">
            <w:pPr>
              <w:snapToGrid w:val="0"/>
              <w:spacing w:beforeLines="50" w:before="120" w:afterLines="50" w:after="120"/>
              <w:jc w:val="both"/>
              <w:rPr>
                <w:rFonts w:eastAsia="標楷體"/>
                <w:bCs/>
              </w:rPr>
            </w:pPr>
          </w:p>
        </w:tc>
      </w:tr>
    </w:tbl>
    <w:p w:rsidR="00935D85" w:rsidRPr="00F524C5" w:rsidRDefault="00935D85" w:rsidP="00F524C5">
      <w:pPr>
        <w:rPr>
          <w:rFonts w:ascii="標楷體" w:eastAsia="標楷體" w:hAnsi="標楷體"/>
          <w:sz w:val="28"/>
          <w:szCs w:val="28"/>
        </w:rPr>
      </w:pPr>
      <w:bookmarkStart w:id="0" w:name="_GoBack"/>
      <w:bookmarkEnd w:id="0"/>
    </w:p>
    <w:sectPr w:rsidR="00935D85" w:rsidRPr="00F524C5" w:rsidSect="00B72885">
      <w:pgSz w:w="11906" w:h="16838"/>
      <w:pgMar w:top="1418" w:right="1134" w:bottom="141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9BC"/>
    <w:multiLevelType w:val="hybridMultilevel"/>
    <w:tmpl w:val="CBB208E8"/>
    <w:lvl w:ilvl="0" w:tplc="52921F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A7D2B5E"/>
    <w:multiLevelType w:val="hybridMultilevel"/>
    <w:tmpl w:val="AB7661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60684091"/>
    <w:multiLevelType w:val="hybridMultilevel"/>
    <w:tmpl w:val="73F63330"/>
    <w:lvl w:ilvl="0" w:tplc="0B74AB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85"/>
    <w:rsid w:val="000A7089"/>
    <w:rsid w:val="00935D85"/>
    <w:rsid w:val="00A6363B"/>
    <w:rsid w:val="00CA077F"/>
    <w:rsid w:val="00F52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D85"/>
    <w:pPr>
      <w:ind w:leftChars="200" w:left="480"/>
    </w:pPr>
  </w:style>
  <w:style w:type="table" w:styleId="a4">
    <w:name w:val="Table Grid"/>
    <w:basedOn w:val="a1"/>
    <w:rsid w:val="00935D8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D85"/>
    <w:pPr>
      <w:ind w:leftChars="200" w:left="480"/>
    </w:pPr>
  </w:style>
  <w:style w:type="table" w:styleId="a4">
    <w:name w:val="Table Grid"/>
    <w:basedOn w:val="a1"/>
    <w:rsid w:val="00935D8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5FCF-A503-4BAD-8212-682125F6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邱汶栩</dc:creator>
  <cp:lastModifiedBy>邱汶栩</cp:lastModifiedBy>
  <cp:revision>3</cp:revision>
  <dcterms:created xsi:type="dcterms:W3CDTF">2015-12-08T10:32:00Z</dcterms:created>
  <dcterms:modified xsi:type="dcterms:W3CDTF">2015-12-17T01:27:00Z</dcterms:modified>
</cp:coreProperties>
</file>