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8B1" w:rsidRDefault="000606D8" w:rsidP="000169F0">
      <w:pPr>
        <w:pStyle w:val="ae"/>
        <w:ind w:left="0" w:firstLine="850"/>
        <w:jc w:val="distribute"/>
      </w:pPr>
      <w:r>
        <w:rPr>
          <w:rStyle w:val="WW-"/>
          <w:rFonts w:ascii="標楷體" w:eastAsia="標楷體" w:hAnsi="標楷體" w:cs="Arial"/>
          <w:b/>
          <w:bCs/>
          <w:sz w:val="32"/>
          <w:szCs w:val="32"/>
        </w:rPr>
        <w:t>文化部獎勵民間團體辦理社會參與行動論壇作業要點</w:t>
      </w:r>
    </w:p>
    <w:p w:rsidR="002868B1" w:rsidRPr="00367D50" w:rsidRDefault="000606D8" w:rsidP="000169F0">
      <w:pPr>
        <w:pStyle w:val="aa"/>
        <w:ind w:left="4253" w:right="-851" w:firstLine="3827"/>
        <w:rPr>
          <w:sz w:val="22"/>
        </w:rPr>
      </w:pPr>
      <w:r>
        <w:rPr>
          <w:rStyle w:val="WW-"/>
          <w:rFonts w:ascii="標楷體" w:eastAsia="標楷體" w:hAnsi="標楷體" w:cs="標楷體"/>
          <w:sz w:val="16"/>
          <w:szCs w:val="16"/>
        </w:rPr>
        <w:br/>
      </w:r>
      <w:r w:rsidRPr="00367D50">
        <w:rPr>
          <w:rStyle w:val="WW-"/>
          <w:rFonts w:ascii="標楷體" w:eastAsia="標楷體" w:hAnsi="標楷體" w:cs="標楷體"/>
          <w:sz w:val="22"/>
        </w:rPr>
        <w:t>中華民國</w:t>
      </w:r>
      <w:r w:rsidRPr="00367D50">
        <w:rPr>
          <w:rStyle w:val="WW-"/>
          <w:rFonts w:ascii="標楷體" w:eastAsia="標楷體" w:hAnsi="標楷體" w:cs="標楷體"/>
          <w:sz w:val="22"/>
        </w:rPr>
        <w:t>108</w:t>
      </w:r>
      <w:r w:rsidRPr="00367D50">
        <w:rPr>
          <w:rStyle w:val="WW-"/>
          <w:rFonts w:ascii="標楷體" w:eastAsia="標楷體" w:hAnsi="標楷體" w:cs="標楷體"/>
          <w:sz w:val="22"/>
        </w:rPr>
        <w:t>年</w:t>
      </w:r>
      <w:r w:rsidRPr="00367D50">
        <w:rPr>
          <w:rStyle w:val="WW-"/>
          <w:rFonts w:ascii="新細明體;PMingLiU" w:eastAsia="標楷體" w:hAnsi="新細明體;PMingLiU" w:cs="新細明體;PMingLiU"/>
          <w:sz w:val="22"/>
        </w:rPr>
        <w:t>1</w:t>
      </w:r>
      <w:r w:rsidRPr="00367D50">
        <w:rPr>
          <w:rStyle w:val="WW-"/>
          <w:rFonts w:ascii="標楷體" w:eastAsia="標楷體" w:hAnsi="標楷體" w:cs="標楷體"/>
          <w:sz w:val="22"/>
        </w:rPr>
        <w:t>月</w:t>
      </w:r>
      <w:r w:rsidRPr="00367D50">
        <w:rPr>
          <w:rStyle w:val="WW-"/>
          <w:rFonts w:ascii="新細明體;PMingLiU" w:eastAsia="標楷體" w:hAnsi="新細明體;PMingLiU" w:cs="新細明體;PMingLiU"/>
          <w:sz w:val="22"/>
        </w:rPr>
        <w:t>9</w:t>
      </w:r>
      <w:r w:rsidRPr="00367D50">
        <w:rPr>
          <w:rStyle w:val="WW-"/>
          <w:rFonts w:ascii="標楷體" w:eastAsia="標楷體" w:hAnsi="標楷體" w:cs="標楷體"/>
          <w:sz w:val="22"/>
        </w:rPr>
        <w:t>日文源字第</w:t>
      </w:r>
      <w:r w:rsidRPr="00367D50">
        <w:rPr>
          <w:rStyle w:val="WW-"/>
          <w:rFonts w:ascii="標楷體" w:eastAsia="標楷體" w:hAnsi="標楷體" w:cs="標楷體"/>
          <w:sz w:val="22"/>
        </w:rPr>
        <w:t>10730367542</w:t>
      </w:r>
      <w:r w:rsidRPr="00367D50">
        <w:rPr>
          <w:rStyle w:val="WW-"/>
          <w:rFonts w:ascii="標楷體" w:eastAsia="標楷體" w:hAnsi="標楷體" w:cs="標楷體"/>
          <w:sz w:val="22"/>
        </w:rPr>
        <w:t>號令訂定發布</w:t>
      </w:r>
    </w:p>
    <w:p w:rsidR="002868B1" w:rsidRDefault="002868B1" w:rsidP="000169F0">
      <w:pPr>
        <w:pStyle w:val="aa"/>
        <w:snapToGrid w:val="0"/>
        <w:spacing w:after="180" w:line="280" w:lineRule="atLeast"/>
      </w:pPr>
    </w:p>
    <w:p w:rsidR="002868B1" w:rsidRDefault="000606D8" w:rsidP="000169F0">
      <w:pPr>
        <w:pStyle w:val="ae"/>
        <w:widowControl/>
        <w:spacing w:after="180" w:line="240" w:lineRule="atLeast"/>
        <w:ind w:left="565" w:hanging="423"/>
      </w:pPr>
      <w:r>
        <w:rPr>
          <w:rStyle w:val="WW-"/>
          <w:rFonts w:ascii="標楷體" w:eastAsia="標楷體" w:hAnsi="標楷體" w:cs="Arial"/>
          <w:sz w:val="28"/>
          <w:szCs w:val="28"/>
        </w:rPr>
        <w:t>一、緣起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文化部（以下簡稱本部）為鼓勵各類民間團體、個人等由下而上因應社會生活議題，規劃辦理社會參與行動論壇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促進相關團體與社群</w:t>
      </w:r>
      <w:bookmarkStart w:id="0" w:name="_GoBack"/>
      <w:bookmarkEnd w:id="0"/>
      <w:r>
        <w:rPr>
          <w:rStyle w:val="WW-"/>
          <w:rFonts w:ascii="標楷體" w:eastAsia="標楷體" w:hAnsi="標楷體" w:cs="Arial"/>
          <w:sz w:val="28"/>
          <w:szCs w:val="28"/>
        </w:rPr>
        <w:t>聯結，討論當代生活議題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提出未來生活願景，提供行政部門研訂中長期發展政策、目標，分階段引導行政部門與民間進行社會改革，特訂定本要點。</w:t>
      </w:r>
    </w:p>
    <w:p w:rsidR="002868B1" w:rsidRDefault="000606D8" w:rsidP="000169F0">
      <w:pPr>
        <w:pStyle w:val="ae"/>
        <w:widowControl/>
        <w:spacing w:after="180" w:line="240" w:lineRule="atLeast"/>
        <w:ind w:left="0"/>
      </w:pPr>
      <w:r>
        <w:rPr>
          <w:rStyle w:val="WW-"/>
          <w:rFonts w:ascii="標楷體" w:eastAsia="標楷體" w:hAnsi="標楷體" w:cs="Arial"/>
          <w:sz w:val="28"/>
          <w:szCs w:val="28"/>
        </w:rPr>
        <w:t>二、目標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</w:p>
    <w:p w:rsidR="002868B1" w:rsidRDefault="000606D8" w:rsidP="000169F0">
      <w:pPr>
        <w:pStyle w:val="ae"/>
        <w:widowControl/>
        <w:spacing w:after="180" w:line="240" w:lineRule="atLeast"/>
        <w:ind w:left="0"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以社區營造精神鼓勵各界由下而上辦理在地社造論壇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e"/>
        <w:widowControl/>
        <w:spacing w:after="180" w:line="240" w:lineRule="atLeast"/>
        <w:ind w:left="0"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結合本部社造論壇展望未來三十年臺灣社會的挑戰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e"/>
        <w:widowControl/>
        <w:spacing w:after="180" w:line="240" w:lineRule="atLeast"/>
        <w:ind w:left="0"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三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凝聚各界意見促成行政部門研擬中長程分年計畫與戰略構想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560" w:hanging="560"/>
      </w:pPr>
      <w:r>
        <w:rPr>
          <w:rStyle w:val="WW-"/>
          <w:rFonts w:ascii="標楷體" w:eastAsia="標楷體" w:hAnsi="標楷體" w:cs="標楷體"/>
          <w:sz w:val="28"/>
          <w:szCs w:val="28"/>
        </w:rPr>
        <w:t>三、</w:t>
      </w:r>
      <w:r>
        <w:rPr>
          <w:rStyle w:val="WW-"/>
          <w:rFonts w:ascii="標楷體" w:eastAsia="標楷體" w:hAnsi="標楷體" w:cs="Arial"/>
          <w:sz w:val="28"/>
          <w:szCs w:val="28"/>
        </w:rPr>
        <w:t>徵選對象</w:t>
      </w:r>
    </w:p>
    <w:p w:rsidR="002868B1" w:rsidRDefault="000606D8" w:rsidP="000169F0">
      <w:pPr>
        <w:pStyle w:val="aa"/>
        <w:autoSpaceDE w:val="0"/>
        <w:spacing w:line="240" w:lineRule="atLeast"/>
        <w:ind w:left="567" w:hanging="134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具中華民國國籍，且具有社區營造工作相關學識、經驗之個人。</w:t>
      </w:r>
    </w:p>
    <w:p w:rsidR="002868B1" w:rsidRDefault="000606D8" w:rsidP="000169F0">
      <w:pPr>
        <w:pStyle w:val="aa"/>
        <w:autoSpaceDE w:val="0"/>
        <w:spacing w:line="240" w:lineRule="atLeast"/>
        <w:ind w:left="993" w:hanging="560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依中華民國法律設立登記或經政府立案，且從事與社區營造工作相關事務之法人、團體、機構及其從業人員。</w:t>
      </w:r>
    </w:p>
    <w:p w:rsidR="002868B1" w:rsidRDefault="000606D8" w:rsidP="000169F0">
      <w:pPr>
        <w:pStyle w:val="aa"/>
        <w:autoSpaceDE w:val="0"/>
        <w:spacing w:line="240" w:lineRule="atLeast"/>
        <w:ind w:left="568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四、執行期程：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自核定日起六個月為原則。</w:t>
      </w:r>
    </w:p>
    <w:p w:rsidR="002868B1" w:rsidRDefault="000606D8" w:rsidP="000169F0">
      <w:pPr>
        <w:pStyle w:val="aa"/>
        <w:autoSpaceDE w:val="0"/>
        <w:spacing w:line="240" w:lineRule="atLeast"/>
        <w:ind w:left="568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五、獎勵額度與件數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以獎勵二十件計畫為原則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經評審通過獎勵者得核給最高獎勵額度為新臺幣三十萬元</w:t>
      </w:r>
      <w:r>
        <w:rPr>
          <w:rStyle w:val="WW-"/>
          <w:rFonts w:ascii="標楷體" w:eastAsia="標楷體" w:hAnsi="標楷體" w:cs="Arial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惟仍應依實際評審情形核給額度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568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六、申請議題與執行範圍：舉凡生活發展相關議題均可提出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並可依議題設定提出計畫執行範圍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不受地域限制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相關議題例舉如下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</w:p>
    <w:p w:rsidR="002868B1" w:rsidRDefault="000606D8" w:rsidP="000169F0">
      <w:pPr>
        <w:pStyle w:val="aa"/>
        <w:autoSpaceDE w:val="0"/>
        <w:spacing w:line="240" w:lineRule="atLeast"/>
        <w:ind w:left="991" w:hanging="56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文化發展議題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社區在地知識文化、博物館與地方文化館生活圈、多元文化發展、在地知識與創新創業、國際網路社群聯結合作等文化發展議題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993" w:hanging="56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社會發展議題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高齡少子化、食農安全、產業轉型、空污問題、低薪問題、都市更新、非核家園、網路社群、參與式預算、社會創新、青年與兩岸文化等社會發展議題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其他促進社會創新相關生活議題。</w:t>
      </w:r>
    </w:p>
    <w:p w:rsidR="002868B1" w:rsidRDefault="000606D8" w:rsidP="000169F0">
      <w:pPr>
        <w:pStyle w:val="aa"/>
        <w:autoSpaceDE w:val="0"/>
        <w:spacing w:line="240" w:lineRule="atLeast"/>
        <w:ind w:left="566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七、工作項目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透過公共多元方式辦理相關議題論壇與創意行動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例如議題實務工作坊、網路互動設計、座談會議、共學課程等方式，深入在地討論生活現況與未來挑戰因應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566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八、提</w:t>
      </w:r>
      <w:r>
        <w:rPr>
          <w:rStyle w:val="WW-"/>
          <w:rFonts w:ascii="標楷體" w:eastAsia="標楷體" w:hAnsi="標楷體" w:cs="Arial"/>
          <w:sz w:val="28"/>
          <w:szCs w:val="28"/>
        </w:rPr>
        <w:t>案重點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為使未來願景討論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同步檢視社區發展政策現況，申請單位提出相關議題時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請掌握以下原則：</w:t>
      </w:r>
    </w:p>
    <w:p w:rsidR="002868B1" w:rsidRDefault="000606D8" w:rsidP="000169F0">
      <w:pPr>
        <w:pStyle w:val="aa"/>
        <w:autoSpaceDE w:val="0"/>
        <w:spacing w:line="240" w:lineRule="atLeast"/>
        <w:ind w:left="425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分析與觀察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社區營造相關政策</w:t>
      </w:r>
      <w:r>
        <w:rPr>
          <w:rStyle w:val="WW-"/>
          <w:rFonts w:ascii="新細明體;PMingLiU" w:hAnsi="新細明體;PMingLiU" w:cs="新細明體;PMingLiU"/>
          <w:color w:val="000000"/>
          <w:sz w:val="28"/>
          <w:szCs w:val="28"/>
        </w:rPr>
        <w:t>，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作為社會改造的工具有效性</w:t>
      </w:r>
      <w:r>
        <w:rPr>
          <w:rStyle w:val="WW-"/>
          <w:rFonts w:ascii="新細明體;PMingLiU" w:hAnsi="新細明體;PMingLiU" w:cs="新細明體;PMingLiU"/>
          <w:color w:val="000000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檢討政府推動社區營造業務不足與缺點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三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檢視社區營造政策面對未來問題的優先性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firstLine="426"/>
      </w:pPr>
      <w:r>
        <w:rPr>
          <w:rStyle w:val="WW-"/>
          <w:rFonts w:ascii="標楷體" w:eastAsia="標楷體" w:hAnsi="標楷體" w:cs="標楷體"/>
          <w:sz w:val="28"/>
          <w:szCs w:val="28"/>
        </w:rPr>
        <w:lastRenderedPageBreak/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四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提出拓展社造參與的社會擾動相關作法與願景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2868B1" w:rsidP="000169F0">
      <w:pPr>
        <w:pStyle w:val="aa"/>
        <w:autoSpaceDE w:val="0"/>
        <w:spacing w:line="240" w:lineRule="atLeast"/>
        <w:ind w:firstLine="426"/>
        <w:rPr>
          <w:rFonts w:ascii="新細明體;PMingLiU" w:hAnsi="新細明體;PMingLiU" w:cs="Arial"/>
          <w:sz w:val="28"/>
          <w:szCs w:val="28"/>
        </w:rPr>
      </w:pPr>
    </w:p>
    <w:p w:rsidR="002868B1" w:rsidRDefault="000606D8" w:rsidP="000169F0">
      <w:pPr>
        <w:pStyle w:val="aa"/>
        <w:autoSpaceDE w:val="0"/>
        <w:spacing w:line="240" w:lineRule="atLeast"/>
      </w:pPr>
      <w:r>
        <w:rPr>
          <w:rStyle w:val="WW-"/>
          <w:rFonts w:ascii="標楷體" w:eastAsia="標楷體" w:hAnsi="標楷體" w:cs="Arial"/>
          <w:sz w:val="28"/>
          <w:szCs w:val="28"/>
        </w:rPr>
        <w:t>九、評審重點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</w:p>
    <w:p w:rsidR="002868B1" w:rsidRDefault="000606D8" w:rsidP="000169F0">
      <w:pPr>
        <w:pStyle w:val="aa"/>
        <w:autoSpaceDE w:val="0"/>
        <w:spacing w:line="240" w:lineRule="atLeast"/>
        <w:ind w:left="565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國內社造發展問題的掌握度、規劃內容設計之完整度。</w:t>
      </w:r>
    </w:p>
    <w:p w:rsidR="002868B1" w:rsidRDefault="000606D8" w:rsidP="000169F0">
      <w:pPr>
        <w:pStyle w:val="aa"/>
        <w:autoSpaceDE w:val="0"/>
        <w:spacing w:line="240" w:lineRule="atLeast"/>
        <w:ind w:left="565" w:hanging="140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社會觀察與反省對未來願景提出之前瞻性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參與式設計創意、引導聯結團體與社群合作機制</w:t>
      </w: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網路參與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等。</w:t>
      </w:r>
    </w:p>
    <w:p w:rsidR="002868B1" w:rsidRDefault="000606D8" w:rsidP="000169F0">
      <w:pPr>
        <w:pStyle w:val="aa"/>
        <w:autoSpaceDE w:val="0"/>
        <w:spacing w:line="240" w:lineRule="atLeast"/>
        <w:ind w:left="565" w:hanging="140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四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對國內社造永續發展與社會影響力之預期效益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2868B1" w:rsidP="000169F0">
      <w:pPr>
        <w:pStyle w:val="aa"/>
        <w:autoSpaceDE w:val="0"/>
        <w:spacing w:line="240" w:lineRule="atLeast"/>
        <w:rPr>
          <w:rFonts w:ascii="新細明體;PMingLiU" w:hAnsi="新細明體;PMingLiU" w:cs="Arial"/>
          <w:sz w:val="28"/>
          <w:szCs w:val="28"/>
        </w:rPr>
      </w:pPr>
    </w:p>
    <w:p w:rsidR="002868B1" w:rsidRDefault="000606D8" w:rsidP="000169F0">
      <w:pPr>
        <w:pStyle w:val="aa"/>
        <w:autoSpaceDE w:val="0"/>
        <w:spacing w:line="240" w:lineRule="atLeast"/>
        <w:ind w:left="568" w:hanging="566"/>
      </w:pPr>
      <w:r>
        <w:rPr>
          <w:rStyle w:val="WW-"/>
          <w:rFonts w:ascii="標楷體" w:eastAsia="標楷體" w:hAnsi="標楷體" w:cs="Arial"/>
          <w:sz w:val="28"/>
          <w:szCs w:val="28"/>
        </w:rPr>
        <w:t>十、審查流程、結果通知及利益迴避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</w:p>
    <w:p w:rsidR="002868B1" w:rsidRDefault="000606D8" w:rsidP="000169F0">
      <w:pPr>
        <w:pStyle w:val="aa"/>
        <w:autoSpaceDE w:val="0"/>
        <w:spacing w:line="240" w:lineRule="atLeast"/>
        <w:ind w:left="993" w:hanging="56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初審作業</w:t>
      </w:r>
      <w:r>
        <w:rPr>
          <w:rStyle w:val="WW-"/>
          <w:rFonts w:ascii="新細明體;PMingLiU" w:hAnsi="新細明體;PMingLiU" w:cs="Arial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sz w:val="28"/>
          <w:szCs w:val="28"/>
        </w:rPr>
        <w:t>本部機關代表及邀請專家學者擔任評審委員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依評分重點進行書面審查</w:t>
      </w:r>
      <w:r>
        <w:rPr>
          <w:rStyle w:val="WW-"/>
          <w:rFonts w:ascii="新細明體;PMingLiU" w:hAnsi="新細明體;PMingLiU"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通過者進入複審作業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991" w:hanging="56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複審作業</w:t>
      </w:r>
      <w:r>
        <w:rPr>
          <w:rStyle w:val="WW-"/>
          <w:rFonts w:ascii="新細明體;PMingLiU" w:hAnsi="新細明體;PMingLiU" w:cs="Arial"/>
          <w:color w:val="000000"/>
          <w:sz w:val="28"/>
          <w:szCs w:val="28"/>
        </w:rPr>
        <w:t>：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由本部機關代表及邀請專家學者擔任評審委員召開</w:t>
      </w:r>
      <w:r>
        <w:rPr>
          <w:rStyle w:val="WW-"/>
          <w:rFonts w:ascii="標楷體" w:eastAsia="標楷體" w:hAnsi="標楷體" w:cs="Arial"/>
          <w:sz w:val="28"/>
          <w:szCs w:val="28"/>
        </w:rPr>
        <w:t>評審會議進行審查，進入複審者應到場簡報，本部並得視實際需求辦理現地審查。本部將依評審會議通過之決議，簽陳本部首長或授權人核定之</w:t>
      </w:r>
      <w:r>
        <w:rPr>
          <w:rStyle w:val="WW-"/>
          <w:rFonts w:ascii="新細明體;PMingLiU" w:hAnsi="新細明體;PMingLiU" w:cs="Arial"/>
          <w:sz w:val="28"/>
          <w:szCs w:val="28"/>
        </w:rPr>
        <w:t>。</w:t>
      </w:r>
    </w:p>
    <w:p w:rsidR="002868B1" w:rsidRDefault="000606D8" w:rsidP="000169F0">
      <w:pPr>
        <w:pStyle w:val="aa"/>
        <w:autoSpaceDE w:val="0"/>
        <w:spacing w:line="240" w:lineRule="atLeast"/>
        <w:ind w:left="993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評審結果：本部核定後併同評審委員名單於官網公告，並以書面通知獲獎者。</w:t>
      </w:r>
    </w:p>
    <w:p w:rsidR="002868B1" w:rsidRDefault="000606D8" w:rsidP="000169F0">
      <w:pPr>
        <w:pStyle w:val="aa"/>
        <w:autoSpaceDE w:val="0"/>
        <w:spacing w:line="240" w:lineRule="atLeast"/>
        <w:ind w:left="991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四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利益迴避：為確保評審作業之公平性及保密性，相關人員應遵守保密及利益迴避原則，並依行政程序法第三十二條、第三十三條規定辦理。</w:t>
      </w:r>
    </w:p>
    <w:p w:rsidR="002868B1" w:rsidRDefault="000606D8" w:rsidP="000169F0">
      <w:pPr>
        <w:pStyle w:val="cjk"/>
        <w:spacing w:before="300" w:after="0" w:line="440" w:lineRule="exact"/>
        <w:ind w:left="709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十一、撥款方式：依實際工作進度分二期撥付為原則，如因進度及實際撥款需求，得不受分期請款之限制。</w:t>
      </w:r>
    </w:p>
    <w:p w:rsidR="002868B1" w:rsidRDefault="000606D8" w:rsidP="000169F0">
      <w:pPr>
        <w:pStyle w:val="cjk"/>
        <w:spacing w:before="300" w:after="0" w:line="440" w:lineRule="exact"/>
        <w:ind w:left="1134" w:hanging="709"/>
      </w:pPr>
      <w:r>
        <w:rPr>
          <w:rStyle w:val="WW-"/>
          <w:rFonts w:ascii="標楷體" w:eastAsia="標楷體" w:hAnsi="標楷體" w:cs="標楷體"/>
          <w:sz w:val="32"/>
          <w:szCs w:val="32"/>
        </w:rPr>
        <w:t>(</w:t>
      </w:r>
      <w:r>
        <w:rPr>
          <w:rStyle w:val="WW-"/>
          <w:rFonts w:ascii="標楷體" w:eastAsia="標楷體" w:hAnsi="標楷體" w:cs="標楷體"/>
          <w:sz w:val="32"/>
          <w:szCs w:val="32"/>
        </w:rPr>
        <w:t>一</w:t>
      </w:r>
      <w:r>
        <w:rPr>
          <w:rStyle w:val="WW-"/>
          <w:rFonts w:ascii="標楷體" w:eastAsia="標楷體" w:hAnsi="標楷體" w:cs="標楷體"/>
          <w:sz w:val="32"/>
          <w:szCs w:val="32"/>
        </w:rPr>
        <w:t>)</w:t>
      </w:r>
      <w:r>
        <w:t xml:space="preserve"> </w:t>
      </w:r>
      <w:r>
        <w:rPr>
          <w:rStyle w:val="WW-"/>
          <w:rFonts w:ascii="標楷體" w:eastAsia="標楷體" w:hAnsi="標楷體" w:cs="Arial"/>
          <w:sz w:val="28"/>
          <w:szCs w:val="28"/>
        </w:rPr>
        <w:t>第一期：於收到本部書面通知後，即檢具第一期領據、執行修正計畫書、執行切結書等，經本部審核無誤後，撥付百分之五十之獎勵金。</w:t>
      </w:r>
    </w:p>
    <w:p w:rsidR="002868B1" w:rsidRDefault="000606D8" w:rsidP="000169F0">
      <w:pPr>
        <w:pStyle w:val="cjk"/>
        <w:spacing w:before="300" w:after="0" w:line="440" w:lineRule="exact"/>
        <w:ind w:left="993" w:hanging="567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二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t xml:space="preserve"> </w:t>
      </w:r>
      <w:r>
        <w:rPr>
          <w:rStyle w:val="WW-"/>
          <w:rFonts w:ascii="標楷體" w:eastAsia="標楷體" w:hAnsi="標楷體" w:cs="Arial"/>
          <w:sz w:val="28"/>
          <w:szCs w:val="28"/>
        </w:rPr>
        <w:t>第二期：一百零八年規定日前檢送全案執行成果書面報告（含電子檔）、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著作權授權同意書及第</w:t>
      </w:r>
      <w:r>
        <w:rPr>
          <w:rStyle w:val="WW-"/>
          <w:rFonts w:ascii="標楷體" w:eastAsia="標楷體" w:hAnsi="標楷體" w:cs="Arial"/>
          <w:sz w:val="28"/>
          <w:szCs w:val="28"/>
        </w:rPr>
        <w:t>二期款領據等，經本部審核通過後，撥付百分之五十獎勵金。</w:t>
      </w:r>
    </w:p>
    <w:p w:rsidR="002868B1" w:rsidRDefault="000606D8" w:rsidP="000169F0">
      <w:pPr>
        <w:pStyle w:val="cjk"/>
        <w:spacing w:before="300" w:after="0" w:line="440" w:lineRule="exact"/>
        <w:ind w:left="709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十二、報名</w:t>
      </w:r>
      <w:r>
        <w:rPr>
          <w:rFonts w:ascii="標楷體" w:eastAsia="標楷體" w:hAnsi="標楷體" w:cs="Arial"/>
          <w:sz w:val="28"/>
          <w:szCs w:val="28"/>
        </w:rPr>
        <w:t>方式及受理時間：</w:t>
      </w:r>
    </w:p>
    <w:p w:rsidR="002868B1" w:rsidRDefault="000606D8" w:rsidP="000169F0">
      <w:pPr>
        <w:pStyle w:val="cjk"/>
        <w:spacing w:before="300" w:after="0" w:line="440" w:lineRule="exact"/>
        <w:ind w:left="1134" w:hanging="850"/>
      </w:pPr>
      <w:r>
        <w:rPr>
          <w:rStyle w:val="WW-"/>
          <w:rFonts w:ascii="標楷體" w:eastAsia="標楷體" w:hAnsi="標楷體" w:cs="Arial"/>
          <w:sz w:val="28"/>
          <w:szCs w:val="28"/>
        </w:rPr>
        <w:t>（一）本案採線上</w:t>
      </w:r>
      <w:r>
        <w:rPr>
          <w:rStyle w:val="WW-"/>
          <w:rFonts w:ascii="標楷體" w:eastAsia="標楷體" w:hAnsi="標楷體" w:cs="Arial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本部獎補助系統網址：</w:t>
      </w:r>
      <w:hyperlink r:id="rId6">
        <w:r>
          <w:rPr>
            <w:rStyle w:val="WW-"/>
            <w:rFonts w:ascii="標楷體" w:eastAsia="標楷體" w:hAnsi="標楷體" w:cs="Arial"/>
            <w:sz w:val="28"/>
            <w:szCs w:val="28"/>
          </w:rPr>
          <w:t>https://grants.moc.gov.tw/Web/)</w:t>
        </w:r>
        <w:r>
          <w:rPr>
            <w:rStyle w:val="WW-"/>
            <w:rFonts w:ascii="標楷體" w:eastAsia="標楷體" w:hAnsi="標楷體" w:cs="Arial"/>
            <w:sz w:val="28"/>
            <w:szCs w:val="28"/>
          </w:rPr>
          <w:t>申請方式辦理</w:t>
        </w:r>
      </w:hyperlink>
      <w:r>
        <w:rPr>
          <w:rStyle w:val="WW-"/>
          <w:rFonts w:ascii="標楷體" w:eastAsia="標楷體" w:hAnsi="標楷體" w:cs="Arial"/>
          <w:sz w:val="28"/>
          <w:szCs w:val="28"/>
        </w:rPr>
        <w:t>，申請應於下述申請時間至線上報名系統填寫相關申請表件。申請系統網址將於中華民國一百零八年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ㄧ月九日中</w:t>
      </w:r>
      <w:r>
        <w:rPr>
          <w:rStyle w:val="WW-"/>
          <w:rFonts w:ascii="標楷體" w:eastAsia="標楷體" w:hAnsi="標楷體" w:cs="Arial"/>
          <w:sz w:val="28"/>
          <w:szCs w:val="28"/>
        </w:rPr>
        <w:t>午十二時開放，受理截止日為一百零八年二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月十五日下午五時止。</w:t>
      </w:r>
    </w:p>
    <w:p w:rsidR="002868B1" w:rsidRDefault="000606D8" w:rsidP="000169F0">
      <w:pPr>
        <w:pStyle w:val="cjk"/>
        <w:spacing w:before="300" w:after="0" w:line="440" w:lineRule="exact"/>
        <w:ind w:left="1134" w:hanging="850"/>
      </w:pPr>
      <w:r>
        <w:rPr>
          <w:rStyle w:val="WW-"/>
          <w:rFonts w:ascii="標楷體" w:eastAsia="標楷體" w:hAnsi="標楷體" w:cs="Arial"/>
          <w:sz w:val="28"/>
          <w:szCs w:val="28"/>
        </w:rPr>
        <w:lastRenderedPageBreak/>
        <w:t>（二）請於上傳完成後，列印實體紙本一份（個人需簽名、機關團體需單位用印、負責人章）於截止收件日（郵戳為憑）前郵寄本部文化資源司收（新北市新莊區中平路四三九號南棟十三樓，外封請註明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「文化部獎勵民間團體辦理社會參與行動論壇作業要點」）。</w:t>
      </w:r>
    </w:p>
    <w:p w:rsidR="002868B1" w:rsidRDefault="000606D8" w:rsidP="000169F0">
      <w:pPr>
        <w:pStyle w:val="cjk"/>
        <w:spacing w:before="300" w:after="0" w:line="440" w:lineRule="exact"/>
        <w:ind w:left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十三、計畫執行期間注意事項：</w:t>
      </w:r>
    </w:p>
    <w:p w:rsidR="002868B1" w:rsidRDefault="000606D8" w:rsidP="000169F0">
      <w:pPr>
        <w:pStyle w:val="cjk"/>
        <w:spacing w:before="300" w:after="0" w:line="440" w:lineRule="exact"/>
        <w:ind w:left="566" w:hanging="566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一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Style w:val="WW-"/>
          <w:rFonts w:ascii="標楷體" w:eastAsia="標楷體" w:hAnsi="標楷體" w:cs="Arial"/>
          <w:sz w:val="28"/>
          <w:szCs w:val="28"/>
        </w:rPr>
        <w:t>計畫執行過程需配合本部團隊進行之社造議題研究與觀察記錄</w:t>
      </w:r>
      <w:r>
        <w:rPr>
          <w:rStyle w:val="WW-"/>
          <w:rFonts w:cs="Arial"/>
          <w:sz w:val="28"/>
          <w:szCs w:val="28"/>
        </w:rPr>
        <w:t>，</w:t>
      </w:r>
      <w:r>
        <w:rPr>
          <w:rStyle w:val="WW-"/>
          <w:rFonts w:ascii="標楷體" w:eastAsia="標楷體" w:hAnsi="標楷體" w:cs="Arial"/>
          <w:sz w:val="28"/>
          <w:szCs w:val="28"/>
        </w:rPr>
        <w:t>參加本部相關團隊舉辦討論會議、網路議題討論及博覽會活動等交流共學活動</w:t>
      </w:r>
      <w:r>
        <w:rPr>
          <w:rStyle w:val="WW-"/>
          <w:rFonts w:cs="Arial"/>
          <w:sz w:val="28"/>
          <w:szCs w:val="28"/>
        </w:rPr>
        <w:t>。</w:t>
      </w:r>
    </w:p>
    <w:p w:rsidR="002868B1" w:rsidRDefault="000606D8" w:rsidP="000169F0">
      <w:pPr>
        <w:pStyle w:val="aa"/>
        <w:widowControl/>
        <w:spacing w:line="240" w:lineRule="atLeast"/>
        <w:ind w:left="567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Arial"/>
          <w:sz w:val="28"/>
          <w:szCs w:val="28"/>
        </w:rPr>
        <w:t>二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不得以虛偽不實之文件及資料參與徵選；申請文件及資料有虛偽不實而獲獎者，本部應撤銷其所獲獎勵金，獲獎者並應無</w:t>
      </w:r>
      <w:r>
        <w:rPr>
          <w:rFonts w:ascii="標楷體" w:eastAsia="標楷體" w:hAnsi="標楷體" w:cs="Arial"/>
          <w:sz w:val="28"/>
          <w:szCs w:val="28"/>
        </w:rPr>
        <w:t>條件繳回已領之獎勵金。</w:t>
      </w:r>
    </w:p>
    <w:p w:rsidR="002868B1" w:rsidRDefault="000606D8" w:rsidP="000169F0">
      <w:pPr>
        <w:pStyle w:val="aa"/>
        <w:widowControl/>
        <w:spacing w:line="240" w:lineRule="atLeas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獲獎計畫，應按原規劃內容、期程完成，並應依複審委員提具書面建議修正執行，核定後原則不得申請展延期程或變更內容。但因不可抗力或不可歸責之特殊因素，無法按原定進度或執行期程完成者，致有變更必要者，應於事前向本部申請展延或變更計畫內容，經本部核定後辦理。未依前述規定辦理者，本部得視情節輕重予以廢止或撤銷獎勵之一部或全部。</w:t>
      </w:r>
    </w:p>
    <w:p w:rsidR="002868B1" w:rsidRDefault="000606D8" w:rsidP="000169F0">
      <w:pPr>
        <w:pStyle w:val="aa"/>
        <w:widowControl/>
        <w:spacing w:line="240" w:lineRule="atLeast"/>
        <w:ind w:left="708" w:hanging="708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四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Fonts w:eastAsia="Calibri"/>
        </w:rPr>
        <w:t xml:space="preserve"> </w:t>
      </w:r>
      <w:r>
        <w:rPr>
          <w:rStyle w:val="WW-"/>
          <w:rFonts w:ascii="標楷體" w:eastAsia="標楷體" w:hAnsi="標楷體" w:cs="Arial"/>
          <w:sz w:val="28"/>
          <w:szCs w:val="28"/>
        </w:rPr>
        <w:t>獲獎者應擔保未來確實執行並完成獲獎計畫，若無法依原核定期間及計畫內容執行、或偏離原計畫內容宗旨、或執行績效不佳、或未依規定繳交執行資料及成果報告、或繳交之報告內容不實、或違反本要點規定，本部得限期改正，屆期不改正者，將視情節輕重，終止計畫減列獎勵額度，或廢止獎勵並追回已撥付之獎勵金。無故中途退出者，應無異議退還已核撥之獎勵金。</w:t>
      </w:r>
    </w:p>
    <w:p w:rsidR="002868B1" w:rsidRDefault="000606D8" w:rsidP="000169F0">
      <w:pPr>
        <w:pStyle w:val="aa"/>
        <w:widowControl/>
        <w:spacing w:line="240" w:lineRule="atLeast"/>
        <w:ind w:left="708" w:hanging="708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五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Fonts w:eastAsia="Calibri"/>
        </w:rPr>
        <w:t xml:space="preserve"> </w:t>
      </w:r>
      <w:r>
        <w:rPr>
          <w:rStyle w:val="WW-"/>
          <w:rFonts w:ascii="標楷體" w:eastAsia="標楷體" w:hAnsi="標楷體" w:cs="Arial"/>
          <w:sz w:val="28"/>
          <w:szCs w:val="28"/>
        </w:rPr>
        <w:t>本部將依我國稅務相關法令規定，辦理獎勵金之所得稅申報及代扣繳獎勵金稅額等事宜。</w:t>
      </w:r>
    </w:p>
    <w:p w:rsidR="002868B1" w:rsidRDefault="000606D8" w:rsidP="000169F0">
      <w:pPr>
        <w:pStyle w:val="aa"/>
        <w:widowControl/>
        <w:spacing w:line="240" w:lineRule="atLeast"/>
        <w:ind w:left="708" w:hanging="708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Arial"/>
          <w:sz w:val="28"/>
          <w:szCs w:val="28"/>
        </w:rPr>
        <w:t>六</w:t>
      </w:r>
      <w:r>
        <w:rPr>
          <w:rStyle w:val="WW-"/>
          <w:rFonts w:ascii="標楷體" w:eastAsia="標楷體" w:hAnsi="標楷體" w:cs="Arial"/>
          <w:sz w:val="28"/>
          <w:szCs w:val="28"/>
        </w:rPr>
        <w:t>)</w:t>
      </w:r>
      <w:r>
        <w:rPr>
          <w:rFonts w:eastAsia="Calibri"/>
        </w:rPr>
        <w:t xml:space="preserve"> </w:t>
      </w:r>
      <w:r>
        <w:rPr>
          <w:rStyle w:val="WW-"/>
          <w:rFonts w:ascii="標楷體" w:eastAsia="標楷體" w:hAnsi="標楷體" w:cs="Arial"/>
          <w:sz w:val="28"/>
          <w:szCs w:val="28"/>
        </w:rPr>
        <w:t>基於避免獎補助資源重複原則，同一或類似之計畫已獲得本部及附屬機關（構）、財團法人國家文</w:t>
      </w:r>
      <w:r>
        <w:rPr>
          <w:rStyle w:val="WW-"/>
          <w:rFonts w:ascii="標楷體" w:eastAsia="標楷體" w:hAnsi="標楷體" w:cs="Arial"/>
          <w:sz w:val="28"/>
          <w:szCs w:val="28"/>
        </w:rPr>
        <w:t>化藝術基金會、行政法人國家表演藝術中心或中央政府其他機關（構）等獎補助者，本部不再重複給予獎勵金。若於核定後，查知該計畫內容有重複獎補助之情事，本部將撤銷獎勵並追回已撥付之獎勵金。</w:t>
      </w:r>
    </w:p>
    <w:p w:rsidR="002868B1" w:rsidRDefault="000606D8" w:rsidP="000169F0">
      <w:pPr>
        <w:pStyle w:val="aa"/>
        <w:widowControl/>
        <w:spacing w:line="240" w:lineRule="atLeas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2868B1" w:rsidRDefault="000606D8" w:rsidP="000169F0">
      <w:pPr>
        <w:pStyle w:val="aa"/>
        <w:spacing w:line="240" w:lineRule="atLeast"/>
        <w:ind w:left="567" w:hanging="567"/>
      </w:pPr>
      <w:r>
        <w:rPr>
          <w:rStyle w:val="WW-"/>
          <w:rFonts w:ascii="標楷體" w:eastAsia="標楷體" w:hAnsi="標楷體" w:cs="Arial"/>
          <w:sz w:val="28"/>
          <w:szCs w:val="28"/>
        </w:rPr>
        <w:t>十四、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獲獎者因執行本計畫所提供、完成之相關成果資料及成果報告等著作，應同意以非專屬授權方式，無償授權本部及本部授權之第三人，得運用於相關成果展現及宣傳行銷等本部各項推廣或為加值運用，不受時間、地點、次數及使用方式限制；獲獎者並同意對本部及本部授權之人不行使著作人格權。上述著作，有使用第三人之著作之情事，獲獎者需取得第三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人之授權書，並將授權書交付本部收存。獲獎者得同意將其著作以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lastRenderedPageBreak/>
        <w:t>「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CC BY-NC 4.0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」（姓名標示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-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非商業性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 xml:space="preserve"> 4.0</w:t>
      </w:r>
      <w:r>
        <w:rPr>
          <w:rStyle w:val="WW-"/>
          <w:rFonts w:ascii="標楷體" w:eastAsia="標楷體" w:hAnsi="標楷體" w:cs="Arial"/>
          <w:color w:val="000000"/>
          <w:sz w:val="28"/>
          <w:szCs w:val="28"/>
        </w:rPr>
        <w:t>國際）釋出予公眾近用。</w:t>
      </w:r>
    </w:p>
    <w:p w:rsidR="002868B1" w:rsidRDefault="000606D8" w:rsidP="000169F0">
      <w:pPr>
        <w:pStyle w:val="aa"/>
        <w:autoSpaceDE w:val="0"/>
        <w:spacing w:line="240" w:lineRule="atLeast"/>
        <w:ind w:left="567" w:hanging="567"/>
      </w:pPr>
      <w:r>
        <w:rPr>
          <w:rStyle w:val="WW-"/>
          <w:rFonts w:ascii="標楷體" w:eastAsia="標楷體" w:hAnsi="標楷體" w:cs="Arial"/>
          <w:sz w:val="28"/>
          <w:szCs w:val="28"/>
        </w:rPr>
        <w:t>十五、本要點相關事項如有疑義或其他未盡事宜，依其他相關法令或由本部解釋之。</w:t>
      </w:r>
    </w:p>
    <w:sectPr w:rsidR="002868B1">
      <w:pgSz w:w="11906" w:h="16838"/>
      <w:pgMar w:top="1276" w:right="1133" w:bottom="993" w:left="1276" w:header="0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D8" w:rsidRDefault="000606D8" w:rsidP="000169F0">
      <w:r>
        <w:separator/>
      </w:r>
    </w:p>
  </w:endnote>
  <w:endnote w:type="continuationSeparator" w:id="0">
    <w:p w:rsidR="000606D8" w:rsidRDefault="000606D8" w:rsidP="000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;MingLiU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D8" w:rsidRDefault="000606D8" w:rsidP="000169F0">
      <w:r>
        <w:separator/>
      </w:r>
    </w:p>
  </w:footnote>
  <w:footnote w:type="continuationSeparator" w:id="0">
    <w:p w:rsidR="000606D8" w:rsidRDefault="000606D8" w:rsidP="0001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8B1"/>
    <w:rsid w:val="000169F0"/>
    <w:rsid w:val="000606D8"/>
    <w:rsid w:val="002868B1"/>
    <w:rsid w:val="003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8A476-1990-4017-A490-E7B4734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ascii="Times New Roman" w:eastAsia="新細明體;PMingLiU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">
    <w:name w:val="WW-預設段落字型"/>
    <w:qFormat/>
  </w:style>
  <w:style w:type="character" w:customStyle="1" w:styleId="a3">
    <w:name w:val="網際網路連結"/>
    <w:rPr>
      <w:strike w:val="0"/>
      <w:dstrike w:val="0"/>
      <w:color w:val="000000"/>
      <w:u w:val="none"/>
    </w:rPr>
  </w:style>
  <w:style w:type="character" w:customStyle="1" w:styleId="a4">
    <w:name w:val="純文字 字元"/>
    <w:qFormat/>
    <w:rPr>
      <w:rFonts w:ascii="細明體;MingLiU" w:eastAsia="細明體;MingLiU" w:hAnsi="細明體;MingLiU" w:cs="Times New Roman"/>
      <w:szCs w:val="24"/>
    </w:rPr>
  </w:style>
  <w:style w:type="character" w:customStyle="1" w:styleId="a5">
    <w:name w:val="頁首 字元"/>
    <w:qFormat/>
    <w:rPr>
      <w:sz w:val="20"/>
      <w:szCs w:val="20"/>
    </w:rPr>
  </w:style>
  <w:style w:type="character" w:customStyle="1" w:styleId="a6">
    <w:name w:val="頁尾 字元"/>
    <w:qFormat/>
    <w:rPr>
      <w:sz w:val="20"/>
      <w:szCs w:val="20"/>
    </w:rPr>
  </w:style>
  <w:style w:type="character" w:customStyle="1" w:styleId="HTML">
    <w:name w:val="HTML 預設格式 字元"/>
    <w:qFormat/>
    <w:rPr>
      <w:rFonts w:ascii="Courier New" w:hAnsi="Courier New" w:cs="Courier New"/>
      <w:sz w:val="20"/>
      <w:szCs w:val="20"/>
    </w:rPr>
  </w:style>
  <w:style w:type="character" w:customStyle="1" w:styleId="a7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customStyle="1" w:styleId="a8">
    <w:name w:val="本文 字元"/>
    <w:qFormat/>
    <w:rPr>
      <w:rFonts w:ascii="Calibri" w:hAnsi="Calibri" w:cs="Calibri"/>
      <w:sz w:val="24"/>
      <w:szCs w:val="22"/>
    </w:rPr>
  </w:style>
  <w:style w:type="character" w:customStyle="1" w:styleId="WWCharLFO1LVL1">
    <w:name w:val="WW_CharLFO1LVL1"/>
    <w:qFormat/>
    <w:rPr>
      <w:rFonts w:ascii="標楷體" w:eastAsia="標楷體" w:hAnsi="標楷體" w:cs="標楷體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qFormat/>
    <w:pPr>
      <w:widowControl w:val="0"/>
      <w:suppressAutoHyphens/>
      <w:textAlignment w:val="baseline"/>
    </w:pPr>
    <w:rPr>
      <w:rFonts w:ascii="Calibri" w:eastAsia="新細明體;PMingLiU" w:hAnsi="Calibri" w:cs="Calibri"/>
      <w:szCs w:val="22"/>
      <w:lang w:bidi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a"/>
    <w:qFormat/>
    <w:pPr>
      <w:ind w:left="480"/>
    </w:pPr>
  </w:style>
  <w:style w:type="paragraph" w:styleId="af">
    <w:name w:val="Plain Text"/>
    <w:basedOn w:val="aa"/>
    <w:qFormat/>
    <w:rPr>
      <w:rFonts w:ascii="細明體;MingLiU" w:eastAsia="細明體;MingLiU" w:hAnsi="細明體;MingLiU" w:cs="細明體;MingLiU"/>
      <w:szCs w:val="24"/>
    </w:rPr>
  </w:style>
  <w:style w:type="paragraph" w:styleId="af0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a"/>
    <w:qFormat/>
    <w:pPr>
      <w:ind w:left="480"/>
    </w:pPr>
  </w:style>
  <w:style w:type="paragraph" w:styleId="HTML0">
    <w:name w:val="HTML Preformatted"/>
    <w:basedOn w:val="aa"/>
    <w:qFormat/>
    <w:rPr>
      <w:rFonts w:ascii="Courier New" w:hAnsi="Courier New" w:cs="Courier New"/>
      <w:sz w:val="20"/>
      <w:szCs w:val="20"/>
    </w:rPr>
  </w:style>
  <w:style w:type="paragraph" w:styleId="af2">
    <w:name w:val="No Spacing"/>
    <w:qFormat/>
    <w:pPr>
      <w:widowControl w:val="0"/>
      <w:suppressAutoHyphens/>
      <w:textAlignment w:val="baseline"/>
    </w:pPr>
    <w:rPr>
      <w:rFonts w:ascii="Calibri" w:eastAsia="新細明體;PMingLiU" w:hAnsi="Calibri" w:cs="Calibri"/>
      <w:szCs w:val="22"/>
      <w:lang w:bidi="ar-SA"/>
    </w:rPr>
  </w:style>
  <w:style w:type="paragraph" w:styleId="af3">
    <w:name w:val="Balloon Text"/>
    <w:basedOn w:val="aa"/>
    <w:qFormat/>
    <w:rPr>
      <w:rFonts w:ascii="Calibri Light" w:hAnsi="Calibri Light" w:cs="Calibri Light"/>
      <w:sz w:val="18"/>
      <w:szCs w:val="18"/>
    </w:rPr>
  </w:style>
  <w:style w:type="paragraph" w:customStyle="1" w:styleId="-1">
    <w:name w:val="標題-1"/>
    <w:basedOn w:val="aa"/>
    <w:qFormat/>
    <w:pPr>
      <w:spacing w:after="120"/>
    </w:pPr>
    <w:rPr>
      <w:rFonts w:ascii="Arial" w:eastAsia="標楷體" w:hAnsi="Arial" w:cs="Arial"/>
      <w:sz w:val="40"/>
      <w:szCs w:val="24"/>
    </w:rPr>
  </w:style>
  <w:style w:type="paragraph" w:customStyle="1" w:styleId="af4">
    <w:name w:val="表格內容"/>
    <w:basedOn w:val="aa"/>
    <w:qFormat/>
    <w:pPr>
      <w:suppressLineNumbers/>
    </w:pPr>
  </w:style>
  <w:style w:type="paragraph" w:customStyle="1" w:styleId="af5">
    <w:name w:val="框架內容"/>
    <w:basedOn w:val="aa"/>
    <w:qFormat/>
  </w:style>
  <w:style w:type="paragraph" w:customStyle="1" w:styleId="cjk">
    <w:name w:val="cjk"/>
    <w:basedOn w:val="aa"/>
    <w:qFormat/>
    <w:pPr>
      <w:spacing w:before="100" w:after="142" w:line="288" w:lineRule="auto"/>
      <w:ind w:left="1077"/>
    </w:pPr>
    <w:rPr>
      <w:rFonts w:ascii="新細明體;PMingLiU" w:hAnsi="新細明體;PMingLiU" w:cs="新細明體;PMingLiU"/>
      <w:szCs w:val="24"/>
    </w:rPr>
  </w:style>
  <w:style w:type="paragraph" w:customStyle="1" w:styleId="af6">
    <w:name w:val="表格標題"/>
    <w:basedOn w:val="a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moc.gov.tw/Web/)&#30003;&#35531;&#26041;&#24335;&#36774;&#2970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陳玉樺</dc:creator>
  <dc:description/>
  <cp:lastModifiedBy>洪聖凱</cp:lastModifiedBy>
  <cp:revision>11</cp:revision>
  <cp:lastPrinted>2018-11-07T21:01:00Z</cp:lastPrinted>
  <dcterms:created xsi:type="dcterms:W3CDTF">2018-10-25T08:19:00Z</dcterms:created>
  <dcterms:modified xsi:type="dcterms:W3CDTF">2019-01-11T12:34:00Z</dcterms:modified>
  <dc:language>zh-TW</dc:language>
</cp:coreProperties>
</file>