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5F" w:rsidRDefault="004F7C5F" w:rsidP="00886B6C">
      <w:pPr>
        <w:spacing w:afterLines="50" w:after="180" w:line="560" w:lineRule="exact"/>
        <w:jc w:val="center"/>
        <w:rPr>
          <w:b/>
          <w:sz w:val="32"/>
          <w:szCs w:val="32"/>
        </w:rPr>
      </w:pPr>
      <w:r w:rsidRPr="004F7C5F">
        <w:rPr>
          <w:rFonts w:hint="eastAsia"/>
          <w:b/>
          <w:sz w:val="32"/>
          <w:szCs w:val="32"/>
        </w:rPr>
        <w:t>美與科技的對話：</w:t>
      </w:r>
      <w:proofErr w:type="gramStart"/>
      <w:r w:rsidRPr="004F7C5F">
        <w:rPr>
          <w:rFonts w:hint="eastAsia"/>
          <w:b/>
          <w:sz w:val="32"/>
          <w:szCs w:val="32"/>
        </w:rPr>
        <w:t>臺</w:t>
      </w:r>
      <w:proofErr w:type="gramEnd"/>
      <w:r w:rsidRPr="004F7C5F">
        <w:rPr>
          <w:rFonts w:hint="eastAsia"/>
          <w:b/>
          <w:sz w:val="32"/>
          <w:szCs w:val="32"/>
        </w:rPr>
        <w:t>南市美術館與</w:t>
      </w:r>
      <w:r w:rsidR="000907FF">
        <w:rPr>
          <w:rFonts w:hint="eastAsia"/>
          <w:b/>
          <w:sz w:val="32"/>
          <w:szCs w:val="32"/>
        </w:rPr>
        <w:t>台</w:t>
      </w:r>
      <w:r w:rsidRPr="004F7C5F">
        <w:rPr>
          <w:rFonts w:hint="eastAsia"/>
          <w:b/>
          <w:sz w:val="32"/>
          <w:szCs w:val="32"/>
        </w:rPr>
        <w:t>灣藝術行政暨管理學會文物藝術品科學鑑定技術研討會</w:t>
      </w:r>
    </w:p>
    <w:p w:rsidR="004F7C5F" w:rsidRDefault="004F7C5F" w:rsidP="004F7C5F"/>
    <w:p w:rsidR="00886B6C" w:rsidRPr="00283B91" w:rsidRDefault="004F7C5F" w:rsidP="00283B91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3B91">
        <w:rPr>
          <w:rFonts w:hint="eastAsia"/>
          <w:b/>
          <w:sz w:val="28"/>
          <w:szCs w:val="28"/>
        </w:rPr>
        <w:t>活動主旨</w:t>
      </w:r>
      <w:r w:rsidR="00886B6C" w:rsidRPr="00283B91">
        <w:rPr>
          <w:rFonts w:hint="eastAsia"/>
          <w:b/>
          <w:sz w:val="28"/>
          <w:szCs w:val="28"/>
        </w:rPr>
        <w:t>：</w:t>
      </w:r>
    </w:p>
    <w:p w:rsidR="00886B6C" w:rsidRPr="00283B91" w:rsidRDefault="00625DE6" w:rsidP="00D8679C">
      <w:pPr>
        <w:ind w:firstLine="480"/>
        <w:rPr>
          <w:rFonts w:asciiTheme="minorEastAsia" w:eastAsiaTheme="minorEastAsia" w:hAnsiTheme="minorEastAsia"/>
          <w:sz w:val="24"/>
        </w:rPr>
      </w:pPr>
      <w:r w:rsidRPr="00625DE6">
        <w:rPr>
          <w:rFonts w:asciiTheme="minorEastAsia" w:eastAsiaTheme="minorEastAsia" w:hAnsiTheme="minorEastAsia" w:hint="eastAsia"/>
          <w:sz w:val="24"/>
        </w:rPr>
        <w:t>本研討會</w:t>
      </w:r>
      <w:r>
        <w:rPr>
          <w:rFonts w:asciiTheme="minorEastAsia" w:eastAsiaTheme="minorEastAsia" w:hAnsiTheme="minorEastAsia" w:hint="eastAsia"/>
          <w:sz w:val="24"/>
        </w:rPr>
        <w:t>為</w:t>
      </w:r>
      <w:proofErr w:type="gramStart"/>
      <w:r>
        <w:rPr>
          <w:rFonts w:asciiTheme="minorEastAsia" w:eastAsiaTheme="minorEastAsia" w:hAnsiTheme="minorEastAsia" w:hint="eastAsia"/>
          <w:sz w:val="24"/>
        </w:rPr>
        <w:t>臺</w:t>
      </w:r>
      <w:proofErr w:type="gramEnd"/>
      <w:r>
        <w:rPr>
          <w:rFonts w:asciiTheme="minorEastAsia" w:eastAsiaTheme="minorEastAsia" w:hAnsiTheme="minorEastAsia" w:hint="eastAsia"/>
          <w:sz w:val="24"/>
        </w:rPr>
        <w:t>南市</w:t>
      </w:r>
      <w:r w:rsidRPr="00625DE6">
        <w:rPr>
          <w:rFonts w:asciiTheme="minorEastAsia" w:eastAsiaTheme="minorEastAsia" w:hAnsiTheme="minorEastAsia" w:hint="eastAsia"/>
          <w:sz w:val="24"/>
        </w:rPr>
        <w:t>與台灣藝術行政暨管理學會共同辦理，</w:t>
      </w:r>
      <w:r>
        <w:rPr>
          <w:rFonts w:asciiTheme="minorEastAsia" w:eastAsiaTheme="minorEastAsia" w:hAnsiTheme="minorEastAsia" w:hint="eastAsia"/>
          <w:sz w:val="24"/>
        </w:rPr>
        <w:t>以</w:t>
      </w:r>
      <w:r w:rsidRPr="00625DE6">
        <w:rPr>
          <w:rFonts w:asciiTheme="minorEastAsia" w:eastAsiaTheme="minorEastAsia" w:hAnsiTheme="minorEastAsia" w:hint="eastAsia"/>
          <w:sz w:val="24"/>
        </w:rPr>
        <w:t>提升國內文物藝術相關知識、鑑定技術發展，蓄積相關領域之學術研究風氣為目的，邀請國內外專家進行實務經驗分享與研究成果發表，提供社會大眾瞭解藝術品科學研究與鑑定技術之發展與其重要性。</w:t>
      </w:r>
    </w:p>
    <w:p w:rsidR="00C57EA7" w:rsidRPr="00283B91" w:rsidRDefault="00C57EA7" w:rsidP="00283B91">
      <w:pPr>
        <w:pStyle w:val="a3"/>
        <w:numPr>
          <w:ilvl w:val="0"/>
          <w:numId w:val="1"/>
        </w:numPr>
        <w:spacing w:afterLines="50" w:after="180" w:line="560" w:lineRule="exact"/>
        <w:ind w:leftChars="0"/>
        <w:rPr>
          <w:rFonts w:asciiTheme="minorEastAsia" w:eastAsiaTheme="minorEastAsia" w:hAnsiTheme="minorEastAsia"/>
          <w:b/>
          <w:sz w:val="28"/>
          <w:szCs w:val="28"/>
        </w:rPr>
      </w:pPr>
      <w:r w:rsidRPr="00283B91">
        <w:rPr>
          <w:rFonts w:asciiTheme="minorEastAsia" w:eastAsiaTheme="minorEastAsia" w:hAnsiTheme="minorEastAsia" w:hint="eastAsia"/>
          <w:b/>
          <w:sz w:val="28"/>
          <w:szCs w:val="28"/>
        </w:rPr>
        <w:t>主</w:t>
      </w:r>
      <w:r w:rsidR="00E439B0" w:rsidRPr="00283B91">
        <w:rPr>
          <w:rFonts w:asciiTheme="minorEastAsia" w:eastAsiaTheme="minorEastAsia" w:hAnsiTheme="minorEastAsia" w:hint="eastAsia"/>
          <w:b/>
          <w:sz w:val="28"/>
          <w:szCs w:val="28"/>
        </w:rPr>
        <w:t>協</w:t>
      </w:r>
      <w:r w:rsidRPr="00283B91">
        <w:rPr>
          <w:rFonts w:asciiTheme="minorEastAsia" w:eastAsiaTheme="minorEastAsia" w:hAnsiTheme="minorEastAsia" w:hint="eastAsia"/>
          <w:b/>
          <w:sz w:val="28"/>
          <w:szCs w:val="28"/>
        </w:rPr>
        <w:t>辦單位</w:t>
      </w:r>
    </w:p>
    <w:p w:rsidR="00283B91" w:rsidRPr="00283B91" w:rsidRDefault="00283B91" w:rsidP="00283B91">
      <w:pPr>
        <w:rPr>
          <w:rFonts w:asciiTheme="minorEastAsia" w:eastAsiaTheme="minorEastAsia" w:hAnsiTheme="minorEastAsia"/>
          <w:sz w:val="24"/>
        </w:rPr>
      </w:pPr>
      <w:r w:rsidRPr="00283B91">
        <w:rPr>
          <w:rFonts w:asciiTheme="minorEastAsia" w:eastAsiaTheme="minorEastAsia" w:hAnsiTheme="minorEastAsia" w:hint="eastAsia"/>
          <w:sz w:val="24"/>
        </w:rPr>
        <w:t>主辦單位：</w:t>
      </w:r>
      <w:r w:rsidR="00E439B0" w:rsidRPr="00283B91">
        <w:rPr>
          <w:rFonts w:asciiTheme="minorEastAsia" w:eastAsiaTheme="minorEastAsia" w:hAnsiTheme="minorEastAsia" w:hint="eastAsia"/>
          <w:sz w:val="24"/>
        </w:rPr>
        <w:t>臺南市美術館</w:t>
      </w:r>
      <w:r w:rsidRPr="00283B91">
        <w:rPr>
          <w:rFonts w:asciiTheme="minorEastAsia" w:eastAsiaTheme="minorEastAsia" w:hAnsiTheme="minorEastAsia" w:hint="eastAsia"/>
          <w:sz w:val="24"/>
        </w:rPr>
        <w:t>、</w:t>
      </w:r>
      <w:r w:rsidR="00147B2C">
        <w:rPr>
          <w:rFonts w:asciiTheme="minorEastAsia" w:eastAsiaTheme="minorEastAsia" w:hAnsiTheme="minorEastAsia" w:hint="eastAsia"/>
          <w:sz w:val="24"/>
        </w:rPr>
        <w:t>台</w:t>
      </w:r>
      <w:bookmarkStart w:id="0" w:name="_GoBack"/>
      <w:bookmarkEnd w:id="0"/>
      <w:r w:rsidR="00E439B0" w:rsidRPr="00283B91">
        <w:rPr>
          <w:rFonts w:asciiTheme="minorEastAsia" w:eastAsiaTheme="minorEastAsia" w:hAnsiTheme="minorEastAsia" w:hint="eastAsia"/>
          <w:sz w:val="24"/>
        </w:rPr>
        <w:t>灣藝術行政暨管理學會。</w:t>
      </w:r>
    </w:p>
    <w:p w:rsidR="00283B91" w:rsidRPr="00283B91" w:rsidRDefault="00283B91" w:rsidP="00283B91">
      <w:pPr>
        <w:rPr>
          <w:rFonts w:asciiTheme="minorEastAsia" w:eastAsiaTheme="minorEastAsia" w:hAnsiTheme="minorEastAsia"/>
          <w:sz w:val="24"/>
        </w:rPr>
      </w:pPr>
      <w:r w:rsidRPr="00283B91">
        <w:rPr>
          <w:rFonts w:asciiTheme="minorEastAsia" w:eastAsiaTheme="minorEastAsia" w:hAnsiTheme="minorEastAsia" w:hint="eastAsia"/>
          <w:sz w:val="24"/>
        </w:rPr>
        <w:t>協力單位：</w:t>
      </w:r>
      <w:proofErr w:type="gramStart"/>
      <w:r w:rsidR="00D8679C" w:rsidRPr="00283B91">
        <w:rPr>
          <w:rFonts w:asciiTheme="minorEastAsia" w:eastAsiaTheme="minorEastAsia" w:hAnsiTheme="minorEastAsia" w:hint="eastAsia"/>
          <w:sz w:val="24"/>
        </w:rPr>
        <w:t>祥</w:t>
      </w:r>
      <w:proofErr w:type="gramEnd"/>
      <w:r w:rsidR="00D8679C" w:rsidRPr="00283B91">
        <w:rPr>
          <w:rFonts w:asciiTheme="minorEastAsia" w:eastAsiaTheme="minorEastAsia" w:hAnsiTheme="minorEastAsia" w:hint="eastAsia"/>
          <w:sz w:val="24"/>
        </w:rPr>
        <w:t>太文化館</w:t>
      </w:r>
      <w:r w:rsidR="00D8679C">
        <w:rPr>
          <w:rFonts w:asciiTheme="minorEastAsia" w:eastAsiaTheme="minorEastAsia" w:hAnsiTheme="minorEastAsia" w:hint="eastAsia"/>
          <w:sz w:val="24"/>
        </w:rPr>
        <w:t>、</w:t>
      </w:r>
      <w:r w:rsidRPr="00283B91">
        <w:rPr>
          <w:rFonts w:asciiTheme="minorEastAsia" w:eastAsiaTheme="minorEastAsia" w:hAnsiTheme="minorEastAsia" w:hint="eastAsia"/>
          <w:sz w:val="24"/>
        </w:rPr>
        <w:t>國立臺灣文學館</w:t>
      </w:r>
    </w:p>
    <w:p w:rsidR="00886B6C" w:rsidRPr="00283B91" w:rsidRDefault="00886B6C" w:rsidP="00283B91">
      <w:pPr>
        <w:pStyle w:val="a3"/>
        <w:numPr>
          <w:ilvl w:val="0"/>
          <w:numId w:val="1"/>
        </w:numPr>
        <w:spacing w:afterLines="50" w:after="180" w:line="560" w:lineRule="exact"/>
        <w:ind w:leftChars="0"/>
        <w:rPr>
          <w:b/>
          <w:sz w:val="28"/>
          <w:szCs w:val="28"/>
        </w:rPr>
      </w:pPr>
      <w:r w:rsidRPr="00283B91">
        <w:rPr>
          <w:rFonts w:hint="eastAsia"/>
          <w:b/>
          <w:sz w:val="28"/>
          <w:szCs w:val="28"/>
        </w:rPr>
        <w:t>研討會議程</w:t>
      </w:r>
      <w:r w:rsidR="00882ADA">
        <w:rPr>
          <w:rFonts w:hint="eastAsia"/>
          <w:b/>
          <w:sz w:val="28"/>
          <w:szCs w:val="28"/>
        </w:rPr>
        <w:t>及場地</w:t>
      </w:r>
    </w:p>
    <w:p w:rsidR="004928D9" w:rsidRPr="00283B91" w:rsidRDefault="00283B91" w:rsidP="00283B91">
      <w:pPr>
        <w:rPr>
          <w:rFonts w:asciiTheme="minorEastAsia" w:eastAsiaTheme="minorEastAsia" w:hAnsiTheme="minorEastAsia"/>
          <w:sz w:val="24"/>
        </w:rPr>
      </w:pPr>
      <w:r w:rsidRPr="00283B91">
        <w:rPr>
          <w:rFonts w:asciiTheme="minorEastAsia" w:eastAsiaTheme="minorEastAsia" w:hAnsiTheme="minorEastAsia" w:hint="eastAsia"/>
          <w:sz w:val="24"/>
        </w:rPr>
        <w:t>日期：</w:t>
      </w:r>
      <w:r w:rsidR="004928D9" w:rsidRPr="00283B91">
        <w:rPr>
          <w:rFonts w:asciiTheme="minorEastAsia" w:eastAsiaTheme="minorEastAsia" w:hAnsiTheme="minorEastAsia"/>
          <w:sz w:val="24"/>
        </w:rPr>
        <w:t xml:space="preserve">107年12月22日(星期六) </w:t>
      </w:r>
    </w:p>
    <w:p w:rsidR="004A6384" w:rsidRPr="004A6384" w:rsidRDefault="00283B91" w:rsidP="004A6384">
      <w:pPr>
        <w:rPr>
          <w:rFonts w:asciiTheme="minorEastAsia" w:eastAsiaTheme="minorEastAsia" w:hAnsiTheme="minorEastAsia" w:hint="eastAsia"/>
          <w:sz w:val="24"/>
        </w:rPr>
      </w:pPr>
      <w:r w:rsidRPr="00283B91">
        <w:rPr>
          <w:rFonts w:asciiTheme="minorEastAsia" w:eastAsiaTheme="minorEastAsia" w:hAnsiTheme="minorEastAsia" w:hint="eastAsia"/>
          <w:sz w:val="24"/>
        </w:rPr>
        <w:t>地點：國立臺灣文學館</w:t>
      </w:r>
      <w:r>
        <w:rPr>
          <w:rFonts w:asciiTheme="minorEastAsia" w:eastAsiaTheme="minorEastAsia" w:hAnsiTheme="minorEastAsia" w:hint="eastAsia"/>
          <w:sz w:val="24"/>
        </w:rPr>
        <w:t>演講廳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3828"/>
        <w:gridCol w:w="1984"/>
      </w:tblGrid>
      <w:tr w:rsidR="004A6384" w:rsidRPr="00F924FD" w:rsidTr="008E5D68">
        <w:trPr>
          <w:trHeight w:val="680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時間</w:t>
            </w:r>
          </w:p>
        </w:tc>
        <w:tc>
          <w:tcPr>
            <w:tcW w:w="808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議程內容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1230-1300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報到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1300-13</w:t>
            </w:r>
            <w:r w:rsidRPr="004A6384">
              <w:rPr>
                <w:rFonts w:hint="eastAsia"/>
              </w:rPr>
              <w:t>1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開幕式</w:t>
            </w:r>
            <w:r w:rsidRPr="004A6384">
              <w:rPr>
                <w:rFonts w:hint="eastAsia"/>
              </w:rPr>
              <w:t>暨「</w:t>
            </w:r>
            <w:proofErr w:type="gramStart"/>
            <w:r w:rsidRPr="004A6384">
              <w:rPr>
                <w:rFonts w:hint="eastAsia"/>
              </w:rPr>
              <w:t>臺</w:t>
            </w:r>
            <w:proofErr w:type="gramEnd"/>
            <w:r w:rsidRPr="004A6384">
              <w:rPr>
                <w:rFonts w:hint="eastAsia"/>
              </w:rPr>
              <w:t>南市美術館美術科學研究中心」揭牌儀式</w:t>
            </w:r>
          </w:p>
        </w:tc>
      </w:tr>
      <w:tr w:rsidR="004A6384" w:rsidRPr="00C94995" w:rsidTr="008E5D68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13</w:t>
            </w:r>
            <w:r w:rsidRPr="004A6384">
              <w:rPr>
                <w:rFonts w:hint="eastAsia"/>
              </w:rPr>
              <w:t>1</w:t>
            </w:r>
            <w:r w:rsidRPr="004A6384">
              <w:t>0-1</w:t>
            </w:r>
            <w:r w:rsidRPr="004A6384">
              <w:rPr>
                <w:rFonts w:hint="eastAsia"/>
              </w:rPr>
              <w:t>44</w:t>
            </w:r>
            <w:r w:rsidRPr="004A6384">
              <w:t>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專題講座</w:t>
            </w:r>
            <w:r w:rsidRPr="004A6384">
              <w:rPr>
                <w:rFonts w:hint="eastAsia"/>
              </w:rPr>
              <w:t>：</w:t>
            </w:r>
            <w:r w:rsidRPr="004A6384">
              <w:t>三</w:t>
            </w:r>
            <w:proofErr w:type="gramStart"/>
            <w:r w:rsidRPr="004A6384">
              <w:t>浦</w:t>
            </w:r>
            <w:r w:rsidRPr="004A6384">
              <w:rPr>
                <w:rFonts w:hint="eastAsia"/>
              </w:rPr>
              <w:t>定俊</w:t>
            </w:r>
            <w:proofErr w:type="gramEnd"/>
            <w:r w:rsidRPr="004A6384">
              <w:rPr>
                <w:rFonts w:hint="eastAsia"/>
              </w:rPr>
              <w:t xml:space="preserve"> /</w:t>
            </w:r>
            <w:r w:rsidRPr="004A6384">
              <w:t xml:space="preserve"> </w:t>
            </w:r>
            <w:r w:rsidRPr="004A6384">
              <w:rPr>
                <w:rFonts w:hint="eastAsia"/>
              </w:rPr>
              <w:t>國際文化財保護協會日本支會副會長</w:t>
            </w:r>
          </w:p>
          <w:p w:rsidR="004A6384" w:rsidRPr="004A6384" w:rsidRDefault="004A6384" w:rsidP="004A6384">
            <w:r w:rsidRPr="004A6384">
              <w:rPr>
                <w:rFonts w:hint="eastAsia"/>
              </w:rPr>
              <w:t xml:space="preserve">    Conservation </w:t>
            </w:r>
            <w:proofErr w:type="gramStart"/>
            <w:r w:rsidRPr="004A6384">
              <w:rPr>
                <w:rFonts w:hint="eastAsia"/>
              </w:rPr>
              <w:t>＆</w:t>
            </w:r>
            <w:proofErr w:type="gramEnd"/>
            <w:r w:rsidRPr="004A6384">
              <w:rPr>
                <w:rFonts w:hint="eastAsia"/>
              </w:rPr>
              <w:t xml:space="preserve"> Use of Cultural Property based on Science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4</w:t>
            </w:r>
            <w:r w:rsidRPr="004A6384">
              <w:t>40-1</w:t>
            </w:r>
            <w:r w:rsidRPr="004A6384">
              <w:rPr>
                <w:rFonts w:hint="eastAsia"/>
              </w:rPr>
              <w:t>6</w:t>
            </w:r>
            <w:r w:rsidRPr="004A6384">
              <w:t>00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分場</w:t>
            </w:r>
            <w:proofErr w:type="gramStart"/>
            <w:r w:rsidRPr="004A6384">
              <w:rPr>
                <w:rFonts w:hint="eastAsia"/>
              </w:rPr>
              <w:t>一</w:t>
            </w:r>
            <w:proofErr w:type="gramEnd"/>
            <w:r w:rsidRPr="004A6384">
              <w:t xml:space="preserve"> </w:t>
            </w:r>
            <w:r w:rsidRPr="004A6384">
              <w:t>主持人：</w:t>
            </w:r>
            <w:r w:rsidRPr="004A6384">
              <w:t xml:space="preserve"> </w:t>
            </w:r>
            <w:r w:rsidRPr="004A6384">
              <w:rPr>
                <w:rFonts w:hint="eastAsia"/>
              </w:rPr>
              <w:t>俞美霞</w:t>
            </w:r>
            <w:r w:rsidRPr="004A6384">
              <w:rPr>
                <w:rFonts w:hint="eastAsia"/>
              </w:rPr>
              <w:t xml:space="preserve"> / </w:t>
            </w:r>
            <w:r w:rsidR="000907FF">
              <w:rPr>
                <w:rFonts w:hint="eastAsia"/>
              </w:rPr>
              <w:t>國立</w:t>
            </w:r>
            <w:proofErr w:type="gramStart"/>
            <w:r w:rsidRPr="004A6384">
              <w:rPr>
                <w:rFonts w:hint="eastAsia"/>
              </w:rPr>
              <w:t>臺</w:t>
            </w:r>
            <w:proofErr w:type="gramEnd"/>
            <w:r w:rsidRPr="004A6384">
              <w:rPr>
                <w:rFonts w:hint="eastAsia"/>
              </w:rPr>
              <w:t>北大學民俗藝術與文化資產研究所副教授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發表人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論文題目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服務單位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李建緯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臺</w:t>
            </w:r>
            <w:r w:rsidRPr="004A6384">
              <w:t>灣</w:t>
            </w:r>
            <w:r w:rsidRPr="004A6384">
              <w:rPr>
                <w:rFonts w:hint="eastAsia"/>
              </w:rPr>
              <w:t>寺廟</w:t>
            </w:r>
            <w:r w:rsidRPr="004A6384">
              <w:t>傳世文物</w:t>
            </w:r>
            <w:r w:rsidRPr="004A6384">
              <w:rPr>
                <w:rFonts w:hint="eastAsia"/>
              </w:rPr>
              <w:t>年代判斷</w:t>
            </w:r>
            <w:r w:rsidRPr="004A6384">
              <w:t>的</w:t>
            </w:r>
            <w:r w:rsidRPr="004A6384">
              <w:rPr>
                <w:rFonts w:hint="eastAsia"/>
              </w:rPr>
              <w:t>反思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逢甲大學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曾永寬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嘉義縣</w:t>
            </w:r>
            <w:r w:rsidRPr="004A6384">
              <w:t>水上鄉苦竹寺葉王香爐</w:t>
            </w:r>
            <w:r w:rsidRPr="004A6384">
              <w:rPr>
                <w:rFonts w:hint="eastAsia"/>
              </w:rPr>
              <w:t>之</w:t>
            </w:r>
            <w:r w:rsidRPr="004A6384">
              <w:t>辨識</w:t>
            </w:r>
            <w:r w:rsidRPr="004A6384">
              <w:rPr>
                <w:rFonts w:hint="eastAsia"/>
              </w:rPr>
              <w:t>與研究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r w:rsidR="004A6384" w:rsidRPr="004A6384">
              <w:t>雲林科技大學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劉靜敏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案上風景</w:t>
            </w:r>
            <w:proofErr w:type="gramStart"/>
            <w:r w:rsidRPr="004A6384">
              <w:rPr>
                <w:rFonts w:hint="eastAsia"/>
              </w:rPr>
              <w:t>—香席器</w:t>
            </w:r>
            <w:proofErr w:type="gramEnd"/>
            <w:r w:rsidRPr="004A6384">
              <w:rPr>
                <w:rFonts w:hint="eastAsia"/>
              </w:rPr>
              <w:t>用文化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r w:rsidR="004A6384" w:rsidRPr="004A6384">
              <w:rPr>
                <w:rFonts w:hint="eastAsia"/>
              </w:rPr>
              <w:t>臺</w:t>
            </w:r>
            <w:r w:rsidR="004A6384" w:rsidRPr="004A6384">
              <w:t>灣藝術大學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60</w:t>
            </w:r>
            <w:r w:rsidRPr="004A6384">
              <w:t>0-1</w:t>
            </w:r>
            <w:r w:rsidRPr="004A6384">
              <w:rPr>
                <w:rFonts w:hint="eastAsia"/>
              </w:rPr>
              <w:t>61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茶敘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lastRenderedPageBreak/>
              <w:t>1</w:t>
            </w:r>
            <w:r w:rsidRPr="004A6384">
              <w:rPr>
                <w:rFonts w:hint="eastAsia"/>
              </w:rPr>
              <w:t>61</w:t>
            </w:r>
            <w:r w:rsidRPr="004A6384">
              <w:t>0-1</w:t>
            </w:r>
            <w:r w:rsidRPr="004A6384">
              <w:rPr>
                <w:rFonts w:hint="eastAsia"/>
              </w:rPr>
              <w:t>70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分場</w:t>
            </w:r>
            <w:r w:rsidRPr="004A6384">
              <w:rPr>
                <w:rFonts w:hint="eastAsia"/>
              </w:rPr>
              <w:t>二</w:t>
            </w:r>
            <w:r w:rsidRPr="004A6384">
              <w:t xml:space="preserve"> </w:t>
            </w:r>
            <w:r w:rsidRPr="004A6384">
              <w:t>主持人：曾永寬</w:t>
            </w:r>
            <w:r w:rsidRPr="004A6384">
              <w:rPr>
                <w:rFonts w:hint="eastAsia"/>
              </w:rPr>
              <w:t xml:space="preserve"> </w:t>
            </w:r>
            <w:r w:rsidRPr="004A6384">
              <w:t>/</w:t>
            </w:r>
            <w:r w:rsidRPr="004A6384">
              <w:rPr>
                <w:rFonts w:hint="eastAsia"/>
              </w:rPr>
              <w:t xml:space="preserve"> </w:t>
            </w:r>
            <w:r w:rsidR="000907FF">
              <w:rPr>
                <w:rFonts w:hint="eastAsia"/>
              </w:rPr>
              <w:t>國立</w:t>
            </w:r>
            <w:r w:rsidRPr="004A6384">
              <w:t>雲林科技大學文化資產維護系教授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發表人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論文題目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服務單位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吳盈君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修復前檢測分析應用：以</w:t>
            </w:r>
            <w:proofErr w:type="gramStart"/>
            <w:r w:rsidRPr="004A6384">
              <w:rPr>
                <w:rFonts w:hint="eastAsia"/>
              </w:rPr>
              <w:t>臺</w:t>
            </w:r>
            <w:proofErr w:type="gramEnd"/>
            <w:r w:rsidRPr="004A6384">
              <w:rPr>
                <w:rFonts w:hint="eastAsia"/>
              </w:rPr>
              <w:t>南市美術館</w:t>
            </w:r>
            <w:r w:rsidRPr="004A6384">
              <w:t>館藏作品為例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proofErr w:type="gramStart"/>
            <w:r w:rsidR="004A6384" w:rsidRPr="004A6384">
              <w:t>臺</w:t>
            </w:r>
            <w:proofErr w:type="gramEnd"/>
            <w:r w:rsidR="004A6384" w:rsidRPr="004A6384">
              <w:t>南</w:t>
            </w:r>
            <w:r w:rsidR="004A6384" w:rsidRPr="004A6384">
              <w:rPr>
                <w:rFonts w:hint="eastAsia"/>
              </w:rPr>
              <w:t>藝術大學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王明彥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15-16</w:t>
            </w:r>
            <w:r w:rsidRPr="004A6384">
              <w:rPr>
                <w:rFonts w:hint="eastAsia"/>
              </w:rPr>
              <w:t>世紀朝鮮青花</w:t>
            </w:r>
            <w:proofErr w:type="gramStart"/>
            <w:r w:rsidRPr="004A6384">
              <w:rPr>
                <w:rFonts w:hint="eastAsia"/>
              </w:rPr>
              <w:t>瓷梅竹紋</w:t>
            </w:r>
            <w:proofErr w:type="gramEnd"/>
            <w:r w:rsidRPr="004A6384">
              <w:rPr>
                <w:rFonts w:hint="eastAsia"/>
              </w:rPr>
              <w:t>飾的中國元素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r w:rsidR="004A6384" w:rsidRPr="004A6384">
              <w:rPr>
                <w:rFonts w:hint="eastAsia"/>
              </w:rPr>
              <w:t>臺灣藝術大學</w:t>
            </w:r>
          </w:p>
        </w:tc>
      </w:tr>
      <w:tr w:rsidR="004A6384" w:rsidRPr="00F924FD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1700~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賦歸</w:t>
            </w:r>
          </w:p>
        </w:tc>
      </w:tr>
    </w:tbl>
    <w:p w:rsidR="004A6384" w:rsidRDefault="004A6384" w:rsidP="00283B91">
      <w:pPr>
        <w:rPr>
          <w:rFonts w:asciiTheme="minorEastAsia" w:eastAsiaTheme="minorEastAsia" w:hAnsiTheme="minorEastAsia"/>
          <w:sz w:val="24"/>
        </w:rPr>
      </w:pPr>
    </w:p>
    <w:p w:rsidR="00283B91" w:rsidRPr="00283B91" w:rsidRDefault="00283B91" w:rsidP="00283B91">
      <w:pPr>
        <w:rPr>
          <w:rFonts w:asciiTheme="minorEastAsia" w:eastAsiaTheme="minorEastAsia" w:hAnsiTheme="minorEastAsia"/>
          <w:sz w:val="24"/>
        </w:rPr>
      </w:pPr>
      <w:r w:rsidRPr="00283B91">
        <w:rPr>
          <w:rFonts w:asciiTheme="minorEastAsia" w:eastAsiaTheme="minorEastAsia" w:hAnsiTheme="minorEastAsia" w:hint="eastAsia"/>
          <w:sz w:val="24"/>
        </w:rPr>
        <w:t>日期：</w:t>
      </w:r>
      <w:r w:rsidRPr="00283B91">
        <w:rPr>
          <w:rFonts w:asciiTheme="minorEastAsia" w:eastAsiaTheme="minorEastAsia" w:hAnsiTheme="minorEastAsia"/>
          <w:sz w:val="24"/>
        </w:rPr>
        <w:t>107年12月2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283B91">
        <w:rPr>
          <w:rFonts w:asciiTheme="minorEastAsia" w:eastAsiaTheme="minorEastAsia" w:hAnsiTheme="minorEastAsia"/>
          <w:sz w:val="24"/>
        </w:rPr>
        <w:t>日(星期</w:t>
      </w:r>
      <w:r>
        <w:rPr>
          <w:rFonts w:asciiTheme="minorEastAsia" w:eastAsiaTheme="minorEastAsia" w:hAnsiTheme="minorEastAsia" w:hint="eastAsia"/>
          <w:sz w:val="24"/>
        </w:rPr>
        <w:t>日</w:t>
      </w:r>
      <w:r w:rsidRPr="00283B91">
        <w:rPr>
          <w:rFonts w:asciiTheme="minorEastAsia" w:eastAsiaTheme="minorEastAsia" w:hAnsiTheme="minorEastAsia"/>
          <w:sz w:val="24"/>
        </w:rPr>
        <w:t xml:space="preserve">) </w:t>
      </w:r>
    </w:p>
    <w:p w:rsidR="00EF7A01" w:rsidRPr="004A6384" w:rsidRDefault="00283B91" w:rsidP="008E5D68">
      <w:pPr>
        <w:rPr>
          <w:rFonts w:asciiTheme="minorEastAsia" w:eastAsiaTheme="minorEastAsia" w:hAnsiTheme="minorEastAsia" w:hint="eastAsia"/>
          <w:sz w:val="24"/>
        </w:rPr>
      </w:pPr>
      <w:r w:rsidRPr="00283B91">
        <w:rPr>
          <w:rFonts w:asciiTheme="minorEastAsia" w:eastAsiaTheme="minorEastAsia" w:hAnsiTheme="minorEastAsia" w:hint="eastAsia"/>
          <w:sz w:val="24"/>
        </w:rPr>
        <w:t>地點：國立臺灣文學館</w:t>
      </w:r>
      <w:r>
        <w:rPr>
          <w:rFonts w:asciiTheme="minorEastAsia" w:eastAsiaTheme="minorEastAsia" w:hAnsiTheme="minorEastAsia" w:hint="eastAsia"/>
          <w:sz w:val="24"/>
        </w:rPr>
        <w:t>演講廳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3828"/>
        <w:gridCol w:w="1984"/>
      </w:tblGrid>
      <w:tr w:rsidR="004A6384" w:rsidRPr="004A6384" w:rsidTr="008E5D68">
        <w:trPr>
          <w:trHeight w:val="680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時間</w:t>
            </w:r>
          </w:p>
        </w:tc>
        <w:tc>
          <w:tcPr>
            <w:tcW w:w="808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議程內容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0</w:t>
            </w:r>
            <w:r w:rsidRPr="004A6384">
              <w:rPr>
                <w:rFonts w:hint="eastAsia"/>
              </w:rPr>
              <w:t>90</w:t>
            </w:r>
            <w:r w:rsidRPr="004A6384">
              <w:t>0-09</w:t>
            </w:r>
            <w:r w:rsidRPr="004A6384">
              <w:rPr>
                <w:rFonts w:hint="eastAsia"/>
              </w:rPr>
              <w:t>2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報到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09</w:t>
            </w:r>
            <w:r w:rsidRPr="004A6384">
              <w:rPr>
                <w:rFonts w:hint="eastAsia"/>
              </w:rPr>
              <w:t>2</w:t>
            </w:r>
            <w:r w:rsidRPr="004A6384">
              <w:t>0-10</w:t>
            </w:r>
            <w:r w:rsidRPr="004A6384">
              <w:rPr>
                <w:rFonts w:hint="eastAsia"/>
              </w:rPr>
              <w:t>4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分場</w:t>
            </w:r>
            <w:r w:rsidRPr="004A6384">
              <w:rPr>
                <w:rFonts w:hint="eastAsia"/>
              </w:rPr>
              <w:t>三</w:t>
            </w:r>
            <w:r w:rsidRPr="004A6384">
              <w:rPr>
                <w:rFonts w:hint="eastAsia"/>
              </w:rPr>
              <w:t xml:space="preserve"> </w:t>
            </w:r>
            <w:r w:rsidRPr="004A6384">
              <w:t>主持人：盧泰康</w:t>
            </w:r>
            <w:r w:rsidRPr="004A6384">
              <w:t xml:space="preserve"> / </w:t>
            </w:r>
            <w:r w:rsidR="008031BA">
              <w:rPr>
                <w:rFonts w:hint="eastAsia"/>
              </w:rPr>
              <w:t>國立</w:t>
            </w:r>
            <w:proofErr w:type="gramStart"/>
            <w:r w:rsidRPr="004A6384">
              <w:rPr>
                <w:rFonts w:hint="eastAsia"/>
              </w:rPr>
              <w:t>臺</w:t>
            </w:r>
            <w:proofErr w:type="gramEnd"/>
            <w:r w:rsidRPr="004A6384">
              <w:t>南藝術大學藝術史教授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發表人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論文題目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服務單位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曾肅良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北宋龍泉</w:t>
            </w:r>
            <w:r w:rsidRPr="004A6384">
              <w:rPr>
                <w:rFonts w:hint="eastAsia"/>
              </w:rPr>
              <w:t>窯</w:t>
            </w:r>
            <w:r w:rsidRPr="004A6384">
              <w:t>青瓷</w:t>
            </w:r>
            <w:proofErr w:type="gramStart"/>
            <w:r w:rsidRPr="004A6384">
              <w:t>鑑識</w:t>
            </w:r>
            <w:r w:rsidRPr="004A6384">
              <w:rPr>
                <w:rFonts w:hint="eastAsia"/>
              </w:rPr>
              <w:t>初</w:t>
            </w:r>
            <w:proofErr w:type="gramEnd"/>
            <w:r w:rsidRPr="004A6384">
              <w:t>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臺灣師範大學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王福源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北宋官窯論證與沿革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proofErr w:type="gramStart"/>
            <w:r w:rsidRPr="004A6384">
              <w:rPr>
                <w:rFonts w:hint="eastAsia"/>
              </w:rPr>
              <w:t>祥</w:t>
            </w:r>
            <w:proofErr w:type="gramEnd"/>
            <w:r w:rsidRPr="004A6384">
              <w:rPr>
                <w:rFonts w:hint="eastAsia"/>
              </w:rPr>
              <w:t>太基金會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proofErr w:type="gramStart"/>
            <w:r w:rsidRPr="004A6384">
              <w:t>汪</w:t>
            </w:r>
            <w:r w:rsidRPr="004A6384">
              <w:rPr>
                <w:rFonts w:hint="eastAsia"/>
              </w:rPr>
              <w:t>凌</w:t>
            </w:r>
            <w:r w:rsidRPr="004A6384">
              <w:t>川</w:t>
            </w:r>
            <w:proofErr w:type="gramEnd"/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新粉彩：以「珠山八友」為代表的粉彩藝術創作及其鑑賞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景德鎮學院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10</w:t>
            </w:r>
            <w:r w:rsidRPr="004A6384">
              <w:rPr>
                <w:rFonts w:hint="eastAsia"/>
              </w:rPr>
              <w:t>4</w:t>
            </w:r>
            <w:r w:rsidRPr="004A6384">
              <w:t>0-1</w:t>
            </w:r>
            <w:r w:rsidRPr="004A6384">
              <w:rPr>
                <w:rFonts w:hint="eastAsia"/>
              </w:rPr>
              <w:t>10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茶敘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10</w:t>
            </w:r>
            <w:r w:rsidRPr="004A6384">
              <w:t>0-12</w:t>
            </w:r>
            <w:r w:rsidRPr="004A6384">
              <w:rPr>
                <w:rFonts w:hint="eastAsia"/>
              </w:rPr>
              <w:t>2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分場四</w:t>
            </w:r>
            <w:r w:rsidRPr="004A6384">
              <w:t xml:space="preserve"> </w:t>
            </w:r>
            <w:r w:rsidRPr="004A6384">
              <w:t>主持人：</w:t>
            </w:r>
            <w:proofErr w:type="gramStart"/>
            <w:r w:rsidRPr="004A6384">
              <w:t>鮑</w:t>
            </w:r>
            <w:proofErr w:type="gramEnd"/>
            <w:r w:rsidRPr="004A6384">
              <w:t>忠興</w:t>
            </w:r>
            <w:r w:rsidRPr="004A6384">
              <w:t xml:space="preserve"> / </w:t>
            </w:r>
            <w:r w:rsidRPr="004A6384">
              <w:t>宜特科技總經理室材料分析</w:t>
            </w:r>
            <w:r w:rsidRPr="004A6384">
              <w:rPr>
                <w:rFonts w:hint="eastAsia"/>
              </w:rPr>
              <w:t>師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發表人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論文題目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服務單位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proofErr w:type="gramStart"/>
            <w:r w:rsidRPr="004A6384">
              <w:t>尹</w:t>
            </w:r>
            <w:proofErr w:type="gramEnd"/>
            <w:r w:rsidRPr="004A6384">
              <w:t xml:space="preserve">  </w:t>
            </w:r>
            <w:r w:rsidRPr="004A6384">
              <w:t>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藝術品鑑證體系的頂層設計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文化與旅遊部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俞美霞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0907FF" w:rsidP="004A6384">
            <w:proofErr w:type="gramStart"/>
            <w:r w:rsidRPr="000907FF">
              <w:rPr>
                <w:rFonts w:hint="eastAsia"/>
              </w:rPr>
              <w:t>玉件作舊</w:t>
            </w:r>
            <w:proofErr w:type="gramEnd"/>
            <w:r w:rsidRPr="000907FF">
              <w:rPr>
                <w:rFonts w:hint="eastAsia"/>
              </w:rPr>
              <w:t>剖析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proofErr w:type="gramStart"/>
            <w:r w:rsidR="004A6384" w:rsidRPr="004A6384">
              <w:rPr>
                <w:rFonts w:hint="eastAsia"/>
              </w:rPr>
              <w:t>臺</w:t>
            </w:r>
            <w:proofErr w:type="gramEnd"/>
            <w:r w:rsidR="004A6384" w:rsidRPr="004A6384">
              <w:t>北大學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林蘭東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幾種寶玉石以及礦物顏料的科學檢測分析與鑑定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r w:rsidR="004A6384" w:rsidRPr="004A6384">
              <w:t>雲林科技大學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lastRenderedPageBreak/>
              <w:t>12</w:t>
            </w:r>
            <w:r w:rsidRPr="004A6384">
              <w:rPr>
                <w:rFonts w:hint="eastAsia"/>
              </w:rPr>
              <w:t>2</w:t>
            </w:r>
            <w:r w:rsidRPr="004A6384">
              <w:t>0-1</w:t>
            </w:r>
            <w:r w:rsidRPr="004A6384">
              <w:rPr>
                <w:rFonts w:hint="eastAsia"/>
              </w:rPr>
              <w:t>33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午餐及休息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33</w:t>
            </w:r>
            <w:r w:rsidRPr="004A6384">
              <w:t>0-1</w:t>
            </w:r>
            <w:r w:rsidRPr="004A6384">
              <w:rPr>
                <w:rFonts w:hint="eastAsia"/>
              </w:rPr>
              <w:t>51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分場五</w:t>
            </w:r>
            <w:r w:rsidRPr="004A6384">
              <w:t xml:space="preserve"> </w:t>
            </w:r>
            <w:r w:rsidRPr="004A6384">
              <w:t>主持人：曾肅良</w:t>
            </w:r>
            <w:r w:rsidRPr="004A6384">
              <w:t xml:space="preserve"> / </w:t>
            </w:r>
            <w:r w:rsidR="008031BA">
              <w:rPr>
                <w:rFonts w:hint="eastAsia"/>
              </w:rPr>
              <w:t>國立</w:t>
            </w:r>
            <w:r w:rsidRPr="004A6384">
              <w:t>臺灣師範大學藝術史研究所教授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發表人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論文題目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服務單位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杜</w:t>
            </w:r>
            <w:r w:rsidRPr="004A6384">
              <w:t xml:space="preserve">  </w:t>
            </w:r>
            <w:proofErr w:type="gramStart"/>
            <w:r w:rsidRPr="004A6384">
              <w:t>玫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美術館中的科學鑑定與展望</w:t>
            </w:r>
            <w:r w:rsidRPr="004A6384">
              <w:t>-</w:t>
            </w:r>
            <w:proofErr w:type="gramStart"/>
            <w:r w:rsidRPr="004A6384">
              <w:t>臺</w:t>
            </w:r>
            <w:proofErr w:type="gramEnd"/>
            <w:r w:rsidRPr="004A6384">
              <w:t>南市美術科學研究中心的成立與使命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0907FF" w:rsidP="004A6384">
            <w:r>
              <w:rPr>
                <w:rFonts w:hint="eastAsia"/>
              </w:rPr>
              <w:t>國立</w:t>
            </w:r>
            <w:proofErr w:type="gramStart"/>
            <w:r w:rsidR="004A6384" w:rsidRPr="004A6384">
              <w:t>臺</w:t>
            </w:r>
            <w:proofErr w:type="gramEnd"/>
            <w:r w:rsidR="004A6384" w:rsidRPr="004A6384">
              <w:t>南市美術館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林家聿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張大千仕女畫</w:t>
            </w:r>
            <w:proofErr w:type="gramStart"/>
            <w:r w:rsidRPr="004A6384">
              <w:t>鑑</w:t>
            </w:r>
            <w:proofErr w:type="gramEnd"/>
            <w:r w:rsidRPr="004A6384">
              <w:t>識研究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8031BA" w:rsidP="004A6384">
            <w:r>
              <w:rPr>
                <w:rFonts w:hint="eastAsia"/>
              </w:rPr>
              <w:t>國立</w:t>
            </w:r>
            <w:r w:rsidR="004A6384" w:rsidRPr="004A6384">
              <w:rPr>
                <w:rFonts w:hint="eastAsia"/>
              </w:rPr>
              <w:t>臺</w:t>
            </w:r>
            <w:r w:rsidR="004A6384" w:rsidRPr="004A6384">
              <w:t>灣藝術大學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劉安妮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願世界人都如此鳥</w:t>
            </w:r>
            <w:r w:rsidRPr="004A6384">
              <w:t>-</w:t>
            </w:r>
            <w:r w:rsidRPr="004A6384">
              <w:t>齊白石</w:t>
            </w:r>
            <w:r w:rsidRPr="004A6384">
              <w:rPr>
                <w:rFonts w:hint="eastAsia"/>
              </w:rPr>
              <w:t>鴿子題材</w:t>
            </w:r>
            <w:r w:rsidRPr="004A6384">
              <w:t>畫</w:t>
            </w:r>
            <w:r w:rsidRPr="004A6384">
              <w:rPr>
                <w:rFonts w:hint="eastAsia"/>
              </w:rPr>
              <w:t>作</w:t>
            </w:r>
            <w:proofErr w:type="gramStart"/>
            <w:r w:rsidRPr="004A6384">
              <w:t>鑑</w:t>
            </w:r>
            <w:proofErr w:type="gramEnd"/>
            <w:r w:rsidRPr="004A6384">
              <w:rPr>
                <w:rFonts w:hint="eastAsia"/>
              </w:rPr>
              <w:t>識研究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順益</w:t>
            </w:r>
            <w:r w:rsidRPr="004A6384">
              <w:rPr>
                <w:rFonts w:hint="eastAsia"/>
              </w:rPr>
              <w:t>臺</w:t>
            </w:r>
            <w:r w:rsidRPr="004A6384">
              <w:t>灣原住民博物館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雷皓天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吳昌碩梅花畫鑑定研究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8031BA" w:rsidP="004A6384">
            <w:r>
              <w:rPr>
                <w:rFonts w:hint="eastAsia"/>
              </w:rPr>
              <w:t>國立</w:t>
            </w:r>
            <w:r w:rsidR="004A6384" w:rsidRPr="004A6384">
              <w:rPr>
                <w:rFonts w:hint="eastAsia"/>
              </w:rPr>
              <w:t>臺灣師範大學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15</w:t>
            </w:r>
            <w:r w:rsidRPr="004A6384">
              <w:rPr>
                <w:rFonts w:hint="eastAsia"/>
              </w:rPr>
              <w:t>1</w:t>
            </w:r>
            <w:r w:rsidRPr="004A6384">
              <w:t>0-15</w:t>
            </w:r>
            <w:r w:rsidRPr="004A6384">
              <w:rPr>
                <w:rFonts w:hint="eastAsia"/>
              </w:rPr>
              <w:t>3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茶敘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15</w:t>
            </w:r>
            <w:r w:rsidRPr="004A6384">
              <w:rPr>
                <w:rFonts w:hint="eastAsia"/>
              </w:rPr>
              <w:t>3</w:t>
            </w:r>
            <w:r w:rsidRPr="004A6384">
              <w:t>0-1</w:t>
            </w:r>
            <w:r w:rsidRPr="004A6384">
              <w:rPr>
                <w:rFonts w:hint="eastAsia"/>
              </w:rPr>
              <w:t>65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分場六</w:t>
            </w:r>
            <w:r w:rsidRPr="004A6384">
              <w:t xml:space="preserve"> </w:t>
            </w:r>
            <w:r w:rsidRPr="004A6384">
              <w:t>主持人：</w:t>
            </w:r>
            <w:proofErr w:type="gramStart"/>
            <w:r w:rsidRPr="004A6384">
              <w:rPr>
                <w:rFonts w:hint="eastAsia"/>
              </w:rPr>
              <w:t>岩素芬</w:t>
            </w:r>
            <w:proofErr w:type="gramEnd"/>
            <w:r w:rsidRPr="004A6384">
              <w:rPr>
                <w:rFonts w:hint="eastAsia"/>
              </w:rPr>
              <w:t xml:space="preserve"> / </w:t>
            </w:r>
            <w:r w:rsidR="008031BA">
              <w:rPr>
                <w:rFonts w:hint="eastAsia"/>
              </w:rPr>
              <w:t>國立</w:t>
            </w:r>
            <w:r w:rsidRPr="004A6384">
              <w:rPr>
                <w:rFonts w:hint="eastAsia"/>
              </w:rPr>
              <w:t>故宮博物院登錄保存處處長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發表人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論文題目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服務單位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1BA" w:rsidRDefault="008031BA" w:rsidP="008031BA">
            <w:r>
              <w:t>Gordon</w:t>
            </w:r>
          </w:p>
          <w:p w:rsidR="008031BA" w:rsidRDefault="008031BA" w:rsidP="008031BA">
            <w:r>
              <w:t>Turner-</w:t>
            </w:r>
          </w:p>
          <w:p w:rsidR="004A6384" w:rsidRPr="004A6384" w:rsidRDefault="008031BA" w:rsidP="008031BA">
            <w:r>
              <w:t>Walker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rPr>
                <w:rFonts w:hint="eastAsia"/>
              </w:rPr>
              <w:t>青銅器之鑑定</w:t>
            </w:r>
            <w:proofErr w:type="gramStart"/>
            <w:r w:rsidRPr="004A6384">
              <w:rPr>
                <w:rFonts w:hint="eastAsia"/>
              </w:rPr>
              <w:t>—</w:t>
            </w:r>
            <w:proofErr w:type="gramEnd"/>
            <w:r w:rsidRPr="004A6384">
              <w:rPr>
                <w:rFonts w:hint="eastAsia"/>
              </w:rPr>
              <w:t>非破壞性分析的可靠度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8031BA" w:rsidP="004A6384">
            <w:r>
              <w:rPr>
                <w:rFonts w:hint="eastAsia"/>
              </w:rPr>
              <w:t>國立</w:t>
            </w:r>
            <w:r w:rsidR="004A6384" w:rsidRPr="004A6384">
              <w:t>雲林科技大學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呂松穎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384" w:rsidRPr="004A6384" w:rsidRDefault="004A6384" w:rsidP="004A6384">
            <w:proofErr w:type="gramStart"/>
            <w:r w:rsidRPr="004A6384">
              <w:t>區塊鏈與</w:t>
            </w:r>
            <w:proofErr w:type="gramEnd"/>
            <w:r w:rsidRPr="004A6384">
              <w:t>文物鑑定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384" w:rsidRPr="004A6384" w:rsidRDefault="004A6384" w:rsidP="004A6384">
            <w:proofErr w:type="gramStart"/>
            <w:r w:rsidRPr="004A6384">
              <w:rPr>
                <w:rFonts w:hint="eastAsia"/>
              </w:rPr>
              <w:t>臺</w:t>
            </w:r>
            <w:proofErr w:type="gramEnd"/>
            <w:r w:rsidRPr="004A6384">
              <w:t>南市文化局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/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proofErr w:type="gramStart"/>
            <w:r w:rsidRPr="004A6384">
              <w:t>鮑</w:t>
            </w:r>
            <w:proofErr w:type="gramEnd"/>
            <w:r w:rsidRPr="004A6384">
              <w:t>忠興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古文物材料</w:t>
            </w:r>
            <w:proofErr w:type="gramStart"/>
            <w:r w:rsidRPr="004A6384">
              <w:t>質地入髓分析</w:t>
            </w:r>
            <w:proofErr w:type="gramEnd"/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宜</w:t>
            </w:r>
            <w:proofErr w:type="gramStart"/>
            <w:r w:rsidRPr="004A6384">
              <w:t>特</w:t>
            </w:r>
            <w:proofErr w:type="gramEnd"/>
            <w:r w:rsidRPr="004A6384">
              <w:t>科技公司</w:t>
            </w:r>
          </w:p>
        </w:tc>
      </w:tr>
      <w:tr w:rsidR="004A6384" w:rsidRPr="004A6384" w:rsidTr="008E5D68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1</w:t>
            </w:r>
            <w:r w:rsidRPr="004A6384">
              <w:rPr>
                <w:rFonts w:hint="eastAsia"/>
              </w:rPr>
              <w:t>65</w:t>
            </w:r>
            <w:r w:rsidRPr="004A6384">
              <w:t>0-17</w:t>
            </w:r>
            <w:r w:rsidRPr="004A6384">
              <w:rPr>
                <w:rFonts w:hint="eastAsia"/>
              </w:rPr>
              <w:t>0</w:t>
            </w:r>
            <w:r w:rsidRPr="004A6384">
              <w:t>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84" w:rsidRPr="004A6384" w:rsidRDefault="004A6384" w:rsidP="004A6384">
            <w:r w:rsidRPr="004A6384">
              <w:t>閉幕式</w:t>
            </w:r>
          </w:p>
        </w:tc>
      </w:tr>
    </w:tbl>
    <w:p w:rsidR="00C61301" w:rsidRDefault="00491450">
      <w:pPr>
        <w:rPr>
          <w:sz w:val="24"/>
        </w:rPr>
      </w:pPr>
      <w:r w:rsidRPr="00254324">
        <w:rPr>
          <w:rFonts w:hint="eastAsia"/>
          <w:sz w:val="24"/>
        </w:rPr>
        <w:t>(</w:t>
      </w:r>
      <w:r w:rsidRPr="00254324">
        <w:rPr>
          <w:rFonts w:hint="eastAsia"/>
          <w:sz w:val="24"/>
        </w:rPr>
        <w:t>以上議程</w:t>
      </w:r>
      <w:r w:rsidR="00254324">
        <w:rPr>
          <w:rFonts w:hint="eastAsia"/>
          <w:sz w:val="24"/>
        </w:rPr>
        <w:t>暫定，</w:t>
      </w:r>
      <w:r w:rsidR="00DD7649">
        <w:rPr>
          <w:rFonts w:hint="eastAsia"/>
          <w:sz w:val="24"/>
        </w:rPr>
        <w:t>若有變更，依最新公告為主。</w:t>
      </w:r>
      <w:r w:rsidRPr="00254324">
        <w:rPr>
          <w:rFonts w:hint="eastAsia"/>
          <w:sz w:val="24"/>
        </w:rPr>
        <w:t>)</w:t>
      </w:r>
    </w:p>
    <w:p w:rsidR="00C61906" w:rsidRDefault="00C61906">
      <w:pPr>
        <w:rPr>
          <w:sz w:val="24"/>
        </w:rPr>
      </w:pPr>
    </w:p>
    <w:p w:rsidR="00C61906" w:rsidRPr="00F4710B" w:rsidRDefault="00695C72" w:rsidP="00F4710B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報名方式</w:t>
      </w:r>
    </w:p>
    <w:p w:rsidR="00F4710B" w:rsidRDefault="00695C72" w:rsidP="00F4710B">
      <w:pPr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採</w:t>
      </w:r>
      <w:proofErr w:type="gramEnd"/>
      <w:r>
        <w:rPr>
          <w:rFonts w:asciiTheme="minorEastAsia" w:eastAsiaTheme="minorEastAsia" w:hAnsiTheme="minorEastAsia" w:hint="eastAsia"/>
          <w:sz w:val="24"/>
        </w:rPr>
        <w:t>網路報名，請上報名網頁：</w:t>
      </w:r>
      <w:r w:rsidR="00772DDD" w:rsidRPr="00772DDD">
        <w:rPr>
          <w:rStyle w:val="af"/>
          <w:rFonts w:asciiTheme="minorEastAsia" w:eastAsiaTheme="minorEastAsia" w:hAnsiTheme="minorEastAsia"/>
          <w:sz w:val="24"/>
        </w:rPr>
        <w:t>goo.gl/</w:t>
      </w:r>
      <w:proofErr w:type="spellStart"/>
      <w:r w:rsidR="00772DDD" w:rsidRPr="00772DDD">
        <w:rPr>
          <w:rStyle w:val="af"/>
          <w:rFonts w:asciiTheme="minorEastAsia" w:eastAsiaTheme="minorEastAsia" w:hAnsiTheme="minorEastAsia"/>
          <w:sz w:val="24"/>
        </w:rPr>
        <w:t>EzNmsA</w:t>
      </w:r>
      <w:proofErr w:type="spellEnd"/>
    </w:p>
    <w:p w:rsidR="00772DDD" w:rsidRPr="00D00394" w:rsidRDefault="00772DDD" w:rsidP="00F4710B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如有報名問題，請電洽06-2224096分機2102，吳先生。</w:t>
      </w:r>
    </w:p>
    <w:sectPr w:rsidR="00772DDD" w:rsidRPr="00D00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02" w:rsidRDefault="00501F02" w:rsidP="004928D9">
      <w:r>
        <w:separator/>
      </w:r>
    </w:p>
  </w:endnote>
  <w:endnote w:type="continuationSeparator" w:id="0">
    <w:p w:rsidR="00501F02" w:rsidRDefault="00501F02" w:rsidP="0049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02" w:rsidRDefault="00501F02" w:rsidP="004928D9">
      <w:r>
        <w:separator/>
      </w:r>
    </w:p>
  </w:footnote>
  <w:footnote w:type="continuationSeparator" w:id="0">
    <w:p w:rsidR="00501F02" w:rsidRDefault="00501F02" w:rsidP="0049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68F"/>
    <w:multiLevelType w:val="hybridMultilevel"/>
    <w:tmpl w:val="78082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30701"/>
    <w:multiLevelType w:val="hybridMultilevel"/>
    <w:tmpl w:val="64B83B92"/>
    <w:lvl w:ilvl="0" w:tplc="406E4E8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F4B26"/>
    <w:multiLevelType w:val="hybridMultilevel"/>
    <w:tmpl w:val="849A79EE"/>
    <w:lvl w:ilvl="0" w:tplc="406E4E8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44"/>
    <w:rsid w:val="000147EC"/>
    <w:rsid w:val="0004214C"/>
    <w:rsid w:val="000716CF"/>
    <w:rsid w:val="000907FF"/>
    <w:rsid w:val="00147B2C"/>
    <w:rsid w:val="001C0FD9"/>
    <w:rsid w:val="001F5324"/>
    <w:rsid w:val="00254324"/>
    <w:rsid w:val="00283B91"/>
    <w:rsid w:val="003643DF"/>
    <w:rsid w:val="003D371E"/>
    <w:rsid w:val="00420A7F"/>
    <w:rsid w:val="0042773D"/>
    <w:rsid w:val="004448C8"/>
    <w:rsid w:val="00491450"/>
    <w:rsid w:val="004928D9"/>
    <w:rsid w:val="004A6384"/>
    <w:rsid w:val="004C191D"/>
    <w:rsid w:val="004F7C5F"/>
    <w:rsid w:val="00501F02"/>
    <w:rsid w:val="00591052"/>
    <w:rsid w:val="005D3AB6"/>
    <w:rsid w:val="00614BA1"/>
    <w:rsid w:val="00620DBB"/>
    <w:rsid w:val="00625DE6"/>
    <w:rsid w:val="006349E7"/>
    <w:rsid w:val="00695C72"/>
    <w:rsid w:val="00772DDD"/>
    <w:rsid w:val="008031BA"/>
    <w:rsid w:val="00815FBC"/>
    <w:rsid w:val="0084494A"/>
    <w:rsid w:val="00882ADA"/>
    <w:rsid w:val="00886B6C"/>
    <w:rsid w:val="00887218"/>
    <w:rsid w:val="0089593F"/>
    <w:rsid w:val="00896D6B"/>
    <w:rsid w:val="008E5D68"/>
    <w:rsid w:val="00920168"/>
    <w:rsid w:val="009C19FD"/>
    <w:rsid w:val="009C2E4F"/>
    <w:rsid w:val="009D193E"/>
    <w:rsid w:val="00AE2A89"/>
    <w:rsid w:val="00AE4B44"/>
    <w:rsid w:val="00BC5301"/>
    <w:rsid w:val="00C03038"/>
    <w:rsid w:val="00C14AAA"/>
    <w:rsid w:val="00C57EA7"/>
    <w:rsid w:val="00C61906"/>
    <w:rsid w:val="00C62A5A"/>
    <w:rsid w:val="00CB3B58"/>
    <w:rsid w:val="00D00394"/>
    <w:rsid w:val="00D8679C"/>
    <w:rsid w:val="00DA0F15"/>
    <w:rsid w:val="00DA3E6E"/>
    <w:rsid w:val="00DD7649"/>
    <w:rsid w:val="00E439B0"/>
    <w:rsid w:val="00E4517C"/>
    <w:rsid w:val="00EF7A01"/>
    <w:rsid w:val="00F4710B"/>
    <w:rsid w:val="00FB774E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4298"/>
  <w15:docId w15:val="{0805F733-0F37-48FC-A19F-EE9D3B35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8D9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301"/>
    <w:pPr>
      <w:ind w:leftChars="200" w:left="480"/>
      <w:jc w:val="left"/>
    </w:pPr>
    <w:rPr>
      <w:rFonts w:ascii="Calibri" w:eastAsia="新細明體" w:hAnsi="Calibri" w:cs="Calibri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4928D9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 w:cs="Calibr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8D9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8D9"/>
    <w:pPr>
      <w:tabs>
        <w:tab w:val="center" w:pos="4153"/>
        <w:tab w:val="right" w:pos="8306"/>
      </w:tabs>
      <w:snapToGrid w:val="0"/>
      <w:jc w:val="left"/>
    </w:pPr>
    <w:rPr>
      <w:rFonts w:ascii="Calibri" w:eastAsia="新細明體" w:hAnsi="Calibri" w:cs="Calibr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8D9"/>
    <w:rPr>
      <w:rFonts w:ascii="Calibri" w:eastAsia="新細明體" w:hAnsi="Calibri" w:cs="Calibri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5D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5DE6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625DE6"/>
    <w:rPr>
      <w:rFonts w:ascii="Times New Roman" w:eastAsia="標楷體" w:hAnsi="Times New Roman" w:cs="Times New Roman"/>
      <w:kern w:val="0"/>
      <w:sz w:val="22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5D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25DE6"/>
    <w:rPr>
      <w:rFonts w:ascii="Times New Roman" w:eastAsia="標楷體" w:hAnsi="Times New Roman" w:cs="Times New Roman"/>
      <w:b/>
      <w:bCs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5DE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Hyperlink"/>
    <w:basedOn w:val="a0"/>
    <w:uiPriority w:val="99"/>
    <w:unhideWhenUsed/>
    <w:rsid w:val="00695C7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杜玫</cp:lastModifiedBy>
  <cp:revision>6</cp:revision>
  <dcterms:created xsi:type="dcterms:W3CDTF">2018-11-27T07:13:00Z</dcterms:created>
  <dcterms:modified xsi:type="dcterms:W3CDTF">2018-11-27T07:53:00Z</dcterms:modified>
</cp:coreProperties>
</file>