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36" w:rsidRPr="00186B66" w:rsidRDefault="00F80036" w:rsidP="00F80036">
      <w:pPr>
        <w:autoSpaceDE w:val="0"/>
        <w:autoSpaceDN w:val="0"/>
        <w:adjustRightInd w:val="0"/>
        <w:spacing w:before="20" w:after="40" w:line="480" w:lineRule="exact"/>
        <w:ind w:left="1672" w:hangingChars="348" w:hanging="1672"/>
        <w:jc w:val="center"/>
        <w:rPr>
          <w:rFonts w:eastAsia="標楷體"/>
          <w:b/>
          <w:bCs/>
          <w:kern w:val="0"/>
          <w:sz w:val="48"/>
          <w:szCs w:val="48"/>
        </w:rPr>
      </w:pPr>
      <w:r>
        <w:rPr>
          <w:rFonts w:eastAsia="標楷體" w:hint="eastAsia"/>
          <w:b/>
          <w:bCs/>
          <w:kern w:val="0"/>
          <w:sz w:val="48"/>
          <w:szCs w:val="48"/>
        </w:rPr>
        <w:t>桃園市客家文化館進館人次概況分析</w:t>
      </w:r>
    </w:p>
    <w:p w:rsidR="009B0A4C" w:rsidRDefault="009B0A4C" w:rsidP="00F80036">
      <w:pPr>
        <w:pStyle w:val="a5"/>
        <w:tabs>
          <w:tab w:val="left" w:pos="2880"/>
        </w:tabs>
        <w:spacing w:line="400" w:lineRule="exact"/>
        <w:ind w:left="113" w:right="4865"/>
        <w:jc w:val="left"/>
        <w:rPr>
          <w:rFonts w:eastAsia="標楷體"/>
          <w:sz w:val="28"/>
          <w:szCs w:val="28"/>
        </w:rPr>
      </w:pPr>
    </w:p>
    <w:p w:rsidR="00F80036" w:rsidRPr="00186B66" w:rsidRDefault="00F80036" w:rsidP="00DE60B5">
      <w:pPr>
        <w:pStyle w:val="a5"/>
        <w:tabs>
          <w:tab w:val="left" w:pos="2880"/>
          <w:tab w:val="left" w:pos="7938"/>
        </w:tabs>
        <w:spacing w:line="400" w:lineRule="exact"/>
        <w:ind w:leftChars="-1" w:left="-2" w:right="84" w:firstLineChars="1367" w:firstLine="3828"/>
        <w:jc w:val="lef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0" cy="228600"/>
                <wp:effectExtent l="0" t="0" r="635" b="6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AB112E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pt" to="300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" stroked="f" strokeweight=".25pt">
                <v:stroke endarrow="block"/>
              </v:line>
            </w:pict>
          </mc:Fallback>
        </mc:AlternateContent>
      </w:r>
      <w:r w:rsidRPr="00186B66">
        <w:rPr>
          <w:rFonts w:eastAsia="標楷體"/>
          <w:sz w:val="28"/>
          <w:szCs w:val="28"/>
        </w:rPr>
        <w:t>發布機關：桃園市政府</w:t>
      </w:r>
      <w:r w:rsidR="00DE60B5">
        <w:rPr>
          <w:rFonts w:eastAsia="標楷體" w:hint="eastAsia"/>
          <w:sz w:val="28"/>
          <w:szCs w:val="28"/>
        </w:rPr>
        <w:t>客家事務局</w:t>
      </w:r>
    </w:p>
    <w:p w:rsidR="00F80036" w:rsidRPr="00186B66" w:rsidRDefault="00F80036" w:rsidP="00DE60B5">
      <w:pPr>
        <w:pStyle w:val="a5"/>
        <w:tabs>
          <w:tab w:val="left" w:pos="2880"/>
          <w:tab w:val="left" w:pos="7938"/>
        </w:tabs>
        <w:spacing w:line="400" w:lineRule="exact"/>
        <w:ind w:leftChars="-1" w:left="-2" w:right="84" w:firstLineChars="1367" w:firstLine="3828"/>
        <w:jc w:val="left"/>
        <w:rPr>
          <w:rFonts w:eastAsia="標楷體"/>
          <w:sz w:val="28"/>
          <w:szCs w:val="28"/>
        </w:rPr>
      </w:pPr>
      <w:r w:rsidRPr="00186B66">
        <w:rPr>
          <w:rFonts w:eastAsia="標楷體"/>
          <w:sz w:val="28"/>
          <w:szCs w:val="28"/>
        </w:rPr>
        <w:t>發布日期：</w:t>
      </w:r>
      <w:r w:rsidRPr="00186B66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 w:rsidRPr="00186B66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 w:rsidRPr="00186B66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186B66">
        <w:rPr>
          <w:rFonts w:eastAsia="標楷體"/>
          <w:sz w:val="28"/>
          <w:szCs w:val="28"/>
        </w:rPr>
        <w:t>日</w:t>
      </w:r>
    </w:p>
    <w:p w:rsidR="00F80036" w:rsidRPr="00186B66" w:rsidRDefault="00F80036" w:rsidP="00DE60B5">
      <w:pPr>
        <w:pStyle w:val="a5"/>
        <w:tabs>
          <w:tab w:val="left" w:pos="7938"/>
        </w:tabs>
        <w:spacing w:line="400" w:lineRule="exact"/>
        <w:ind w:leftChars="-1" w:left="-2" w:right="84" w:firstLineChars="1367" w:firstLine="3828"/>
        <w:jc w:val="left"/>
        <w:rPr>
          <w:rFonts w:eastAsia="標楷體"/>
          <w:sz w:val="28"/>
          <w:szCs w:val="28"/>
        </w:rPr>
      </w:pPr>
      <w:r w:rsidRPr="00186B66">
        <w:rPr>
          <w:rFonts w:eastAsia="標楷體"/>
          <w:sz w:val="28"/>
          <w:szCs w:val="28"/>
        </w:rPr>
        <w:t>聯</w:t>
      </w:r>
      <w:r w:rsidRPr="00186B66">
        <w:rPr>
          <w:rFonts w:eastAsia="標楷體"/>
          <w:sz w:val="28"/>
          <w:szCs w:val="28"/>
        </w:rPr>
        <w:t xml:space="preserve"> </w:t>
      </w:r>
      <w:r w:rsidRPr="00186B66">
        <w:rPr>
          <w:rFonts w:eastAsia="標楷體"/>
          <w:sz w:val="28"/>
          <w:szCs w:val="28"/>
        </w:rPr>
        <w:t>絡</w:t>
      </w:r>
      <w:r w:rsidRPr="00186B66">
        <w:rPr>
          <w:rFonts w:eastAsia="標楷體"/>
          <w:sz w:val="28"/>
          <w:szCs w:val="28"/>
        </w:rPr>
        <w:t xml:space="preserve"> </w:t>
      </w:r>
      <w:r w:rsidRPr="00186B66">
        <w:rPr>
          <w:rFonts w:eastAsia="標楷體"/>
          <w:sz w:val="28"/>
          <w:szCs w:val="28"/>
        </w:rPr>
        <w:t>人：</w:t>
      </w:r>
      <w:r w:rsidR="00DE60B5">
        <w:rPr>
          <w:rFonts w:eastAsia="標楷體" w:hint="eastAsia"/>
          <w:sz w:val="28"/>
          <w:szCs w:val="28"/>
        </w:rPr>
        <w:t>會計室</w:t>
      </w:r>
      <w:r w:rsidR="00DE60B5">
        <w:rPr>
          <w:rFonts w:eastAsia="標楷體" w:hint="eastAsia"/>
          <w:sz w:val="28"/>
          <w:szCs w:val="28"/>
        </w:rPr>
        <w:t xml:space="preserve">  </w:t>
      </w:r>
      <w:r w:rsidR="00DE60B5">
        <w:rPr>
          <w:rFonts w:eastAsia="標楷體" w:hint="eastAsia"/>
          <w:sz w:val="28"/>
          <w:szCs w:val="28"/>
        </w:rPr>
        <w:t>周碧蓮</w:t>
      </w:r>
    </w:p>
    <w:p w:rsidR="00F80036" w:rsidRPr="00D0489B" w:rsidRDefault="003D02B2" w:rsidP="00F80036">
      <w:pPr>
        <w:autoSpaceDE w:val="0"/>
        <w:autoSpaceDN w:val="0"/>
        <w:spacing w:beforeLines="150" w:before="540" w:afterLines="150" w:after="540" w:line="240" w:lineRule="exact"/>
        <w:ind w:left="1185" w:hangingChars="370" w:hanging="1185"/>
        <w:rPr>
          <w:rFonts w:eastAsia="標楷體"/>
          <w:b/>
          <w:sz w:val="32"/>
          <w:szCs w:val="32"/>
          <w:lang w:eastAsia="zh-CN"/>
        </w:rPr>
      </w:pPr>
      <w:r>
        <w:rPr>
          <w:rFonts w:eastAsia="標楷體" w:hint="eastAsia"/>
          <w:b/>
          <w:bCs/>
          <w:sz w:val="32"/>
          <w:szCs w:val="32"/>
        </w:rPr>
        <w:t>五年內</w:t>
      </w:r>
      <w:r w:rsidR="00E70AF5">
        <w:rPr>
          <w:rFonts w:eastAsia="標楷體" w:hint="eastAsia"/>
          <w:b/>
          <w:bCs/>
          <w:sz w:val="32"/>
          <w:szCs w:val="32"/>
        </w:rPr>
        <w:t>參觀人次</w:t>
      </w:r>
      <w:r>
        <w:rPr>
          <w:rFonts w:eastAsia="標楷體" w:hint="eastAsia"/>
          <w:b/>
          <w:bCs/>
          <w:sz w:val="32"/>
          <w:szCs w:val="32"/>
        </w:rPr>
        <w:t>平均每年</w:t>
      </w:r>
      <w:r w:rsidR="00E70AF5">
        <w:rPr>
          <w:rFonts w:eastAsia="標楷體" w:hint="eastAsia"/>
          <w:b/>
          <w:bCs/>
          <w:sz w:val="32"/>
          <w:szCs w:val="32"/>
        </w:rPr>
        <w:t>成長</w:t>
      </w:r>
      <w:r w:rsidR="00E70AF5">
        <w:rPr>
          <w:rFonts w:eastAsia="標楷體" w:hint="eastAsia"/>
          <w:b/>
          <w:bCs/>
          <w:sz w:val="32"/>
          <w:szCs w:val="32"/>
        </w:rPr>
        <w:t>13.22%</w:t>
      </w:r>
    </w:p>
    <w:p w:rsidR="00B11056" w:rsidRDefault="00DE60B5" w:rsidP="00F80036">
      <w:pPr>
        <w:snapToGrid w:val="0"/>
        <w:spacing w:afterLines="50" w:after="180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根據</w:t>
      </w:r>
      <w:r w:rsidRPr="00DE60B5">
        <w:rPr>
          <w:rFonts w:eastAsia="標楷體" w:hint="eastAsia"/>
          <w:bCs/>
          <w:sz w:val="28"/>
          <w:szCs w:val="28"/>
        </w:rPr>
        <w:t>桃園市客家文化館</w:t>
      </w:r>
      <w:r>
        <w:rPr>
          <w:rFonts w:eastAsia="標楷體" w:hint="eastAsia"/>
          <w:bCs/>
          <w:sz w:val="28"/>
          <w:szCs w:val="28"/>
        </w:rPr>
        <w:t>101</w:t>
      </w:r>
      <w:r w:rsidR="003019AB">
        <w:rPr>
          <w:rFonts w:eastAsia="標楷體" w:hint="eastAsia"/>
          <w:bCs/>
          <w:sz w:val="28"/>
          <w:szCs w:val="28"/>
        </w:rPr>
        <w:t>至</w:t>
      </w:r>
      <w:r>
        <w:rPr>
          <w:rFonts w:eastAsia="標楷體" w:hint="eastAsia"/>
          <w:bCs/>
          <w:sz w:val="28"/>
          <w:szCs w:val="28"/>
        </w:rPr>
        <w:t>105</w:t>
      </w:r>
      <w:r w:rsidRPr="00DE60B5">
        <w:rPr>
          <w:rFonts w:eastAsia="標楷體" w:hint="eastAsia"/>
          <w:bCs/>
          <w:sz w:val="28"/>
          <w:szCs w:val="28"/>
        </w:rPr>
        <w:t>年度進館人次統計表</w:t>
      </w:r>
      <w:r>
        <w:rPr>
          <w:rFonts w:eastAsia="標楷體" w:hint="eastAsia"/>
          <w:bCs/>
          <w:sz w:val="28"/>
          <w:szCs w:val="28"/>
        </w:rPr>
        <w:t>資料顯示，</w:t>
      </w:r>
      <w:r w:rsidRPr="00DE60B5">
        <w:rPr>
          <w:rFonts w:eastAsia="標楷體" w:hint="eastAsia"/>
          <w:bCs/>
          <w:sz w:val="28"/>
          <w:szCs w:val="28"/>
        </w:rPr>
        <w:t>桃園市客家文化館進館人次</w:t>
      </w:r>
      <w:r>
        <w:rPr>
          <w:rFonts w:eastAsia="標楷體" w:hint="eastAsia"/>
          <w:bCs/>
          <w:sz w:val="28"/>
          <w:szCs w:val="28"/>
        </w:rPr>
        <w:t>由</w:t>
      </w:r>
      <w:r>
        <w:rPr>
          <w:rFonts w:eastAsia="標楷體" w:hint="eastAsia"/>
          <w:bCs/>
          <w:sz w:val="28"/>
          <w:szCs w:val="28"/>
        </w:rPr>
        <w:t>101</w:t>
      </w:r>
      <w:r>
        <w:rPr>
          <w:rFonts w:eastAsia="標楷體" w:hint="eastAsia"/>
          <w:bCs/>
          <w:sz w:val="28"/>
          <w:szCs w:val="28"/>
        </w:rPr>
        <w:t>年之</w:t>
      </w:r>
      <w:r w:rsidR="00A3541A" w:rsidRPr="00A3541A">
        <w:rPr>
          <w:rFonts w:eastAsia="標楷體"/>
          <w:bCs/>
          <w:sz w:val="28"/>
          <w:szCs w:val="28"/>
        </w:rPr>
        <w:t>36</w:t>
      </w:r>
      <w:r w:rsidR="00C20480" w:rsidRPr="00B772F6">
        <w:rPr>
          <w:rFonts w:eastAsia="標楷體" w:hint="eastAsia"/>
          <w:bCs/>
          <w:sz w:val="28"/>
          <w:szCs w:val="28"/>
        </w:rPr>
        <w:t>萬</w:t>
      </w:r>
      <w:r w:rsidR="00A3541A" w:rsidRPr="00B772F6">
        <w:rPr>
          <w:rFonts w:eastAsia="標楷體"/>
          <w:bCs/>
          <w:sz w:val="28"/>
          <w:szCs w:val="28"/>
        </w:rPr>
        <w:t>4</w:t>
      </w:r>
      <w:r w:rsidR="00A3541A" w:rsidRPr="00B772F6">
        <w:rPr>
          <w:rFonts w:eastAsia="標楷體" w:hint="eastAsia"/>
          <w:bCs/>
          <w:sz w:val="28"/>
          <w:szCs w:val="28"/>
        </w:rPr>
        <w:t>,</w:t>
      </w:r>
      <w:r w:rsidR="00A3541A" w:rsidRPr="00B772F6">
        <w:rPr>
          <w:rFonts w:eastAsia="標楷體"/>
          <w:bCs/>
          <w:sz w:val="28"/>
          <w:szCs w:val="28"/>
        </w:rPr>
        <w:t>659</w:t>
      </w:r>
      <w:r w:rsidR="00A3541A" w:rsidRPr="00B772F6">
        <w:rPr>
          <w:rFonts w:eastAsia="標楷體" w:hint="eastAsia"/>
          <w:bCs/>
          <w:sz w:val="28"/>
          <w:szCs w:val="28"/>
        </w:rPr>
        <w:t>人次，逐年增加至</w:t>
      </w:r>
      <w:r w:rsidR="00A3541A" w:rsidRPr="00B772F6">
        <w:rPr>
          <w:rFonts w:eastAsia="標楷體" w:hint="eastAsia"/>
          <w:bCs/>
          <w:sz w:val="28"/>
          <w:szCs w:val="28"/>
        </w:rPr>
        <w:t>105</w:t>
      </w:r>
      <w:r w:rsidR="00A3541A" w:rsidRPr="00B772F6">
        <w:rPr>
          <w:rFonts w:eastAsia="標楷體" w:hint="eastAsia"/>
          <w:bCs/>
          <w:sz w:val="28"/>
          <w:szCs w:val="28"/>
        </w:rPr>
        <w:t>年之</w:t>
      </w:r>
      <w:r w:rsidR="00A3541A" w:rsidRPr="00B772F6">
        <w:rPr>
          <w:rFonts w:eastAsia="標楷體" w:hint="eastAsia"/>
          <w:bCs/>
          <w:sz w:val="28"/>
          <w:szCs w:val="28"/>
        </w:rPr>
        <w:t>60</w:t>
      </w:r>
      <w:r w:rsidR="00C20480" w:rsidRPr="00B772F6">
        <w:rPr>
          <w:rFonts w:eastAsia="標楷體" w:hint="eastAsia"/>
          <w:bCs/>
          <w:sz w:val="28"/>
          <w:szCs w:val="28"/>
        </w:rPr>
        <w:t>萬</w:t>
      </w:r>
      <w:r w:rsidR="00A3541A" w:rsidRPr="00B772F6">
        <w:rPr>
          <w:rFonts w:eastAsia="標楷體" w:hint="eastAsia"/>
          <w:bCs/>
          <w:sz w:val="28"/>
          <w:szCs w:val="28"/>
        </w:rPr>
        <w:t>5,679</w:t>
      </w:r>
      <w:r w:rsidR="00A3541A" w:rsidRPr="00B772F6">
        <w:rPr>
          <w:rFonts w:eastAsia="標楷體" w:hint="eastAsia"/>
          <w:bCs/>
          <w:sz w:val="28"/>
          <w:szCs w:val="28"/>
        </w:rPr>
        <w:t>人次，</w:t>
      </w:r>
      <w:r w:rsidR="00A3541A" w:rsidRPr="00B772F6">
        <w:rPr>
          <w:rFonts w:eastAsia="標楷體" w:hint="eastAsia"/>
          <w:bCs/>
          <w:sz w:val="28"/>
          <w:szCs w:val="28"/>
        </w:rPr>
        <w:t>5</w:t>
      </w:r>
      <w:r w:rsidR="00AE602B" w:rsidRPr="00B772F6">
        <w:rPr>
          <w:rFonts w:eastAsia="標楷體" w:hint="eastAsia"/>
          <w:bCs/>
          <w:sz w:val="28"/>
          <w:szCs w:val="28"/>
        </w:rPr>
        <w:t>年內增加</w:t>
      </w:r>
      <w:r w:rsidR="00A3541A" w:rsidRPr="00B772F6">
        <w:rPr>
          <w:rFonts w:eastAsia="標楷體" w:hint="eastAsia"/>
          <w:bCs/>
          <w:sz w:val="28"/>
          <w:szCs w:val="28"/>
        </w:rPr>
        <w:t>66.09%</w:t>
      </w:r>
      <w:r w:rsidR="00A3541A" w:rsidRPr="00B772F6">
        <w:rPr>
          <w:rFonts w:eastAsia="標楷體" w:hint="eastAsia"/>
          <w:bCs/>
          <w:sz w:val="28"/>
          <w:szCs w:val="28"/>
        </w:rPr>
        <w:t>，</w:t>
      </w:r>
      <w:r w:rsidR="00A3541A">
        <w:rPr>
          <w:rFonts w:eastAsia="標楷體" w:hint="eastAsia"/>
          <w:bCs/>
          <w:sz w:val="28"/>
          <w:szCs w:val="28"/>
        </w:rPr>
        <w:t>平均每年成長</w:t>
      </w:r>
      <w:r w:rsidR="00A3541A">
        <w:rPr>
          <w:rFonts w:eastAsia="標楷體" w:hint="eastAsia"/>
          <w:bCs/>
          <w:sz w:val="28"/>
          <w:szCs w:val="28"/>
        </w:rPr>
        <w:t>13.22%</w:t>
      </w:r>
      <w:r w:rsidR="00A3541A">
        <w:rPr>
          <w:rFonts w:eastAsia="標楷體" w:hint="eastAsia"/>
          <w:bCs/>
          <w:sz w:val="28"/>
          <w:szCs w:val="28"/>
        </w:rPr>
        <w:t>，且</w:t>
      </w:r>
      <w:r w:rsidR="003D02B2">
        <w:rPr>
          <w:rFonts w:eastAsia="標楷體" w:hint="eastAsia"/>
          <w:bCs/>
          <w:sz w:val="28"/>
          <w:szCs w:val="28"/>
        </w:rPr>
        <w:t>除</w:t>
      </w:r>
      <w:proofErr w:type="gramStart"/>
      <w:r w:rsidR="003D02B2">
        <w:rPr>
          <w:rFonts w:eastAsia="標楷體" w:hint="eastAsia"/>
          <w:bCs/>
          <w:sz w:val="28"/>
          <w:szCs w:val="28"/>
        </w:rPr>
        <w:t>104</w:t>
      </w:r>
      <w:proofErr w:type="gramEnd"/>
      <w:r w:rsidR="003D02B2">
        <w:rPr>
          <w:rFonts w:eastAsia="標楷體" w:hint="eastAsia"/>
          <w:bCs/>
          <w:sz w:val="28"/>
          <w:szCs w:val="28"/>
        </w:rPr>
        <w:t>年度因進行</w:t>
      </w:r>
      <w:proofErr w:type="gramStart"/>
      <w:r w:rsidR="003D02B2" w:rsidRPr="003D02B2">
        <w:rPr>
          <w:rFonts w:eastAsia="標楷體" w:hint="eastAsia"/>
          <w:bCs/>
          <w:sz w:val="28"/>
          <w:szCs w:val="28"/>
        </w:rPr>
        <w:t>常設館</w:t>
      </w:r>
      <w:r w:rsidR="00B772F6" w:rsidRPr="00B772F6">
        <w:rPr>
          <w:rFonts w:eastAsia="標楷體" w:hint="eastAsia"/>
          <w:bCs/>
          <w:sz w:val="28"/>
          <w:szCs w:val="28"/>
        </w:rPr>
        <w:t>如</w:t>
      </w:r>
      <w:r w:rsidR="003D02B2" w:rsidRPr="003D02B2">
        <w:rPr>
          <w:rFonts w:eastAsia="標楷體" w:hint="eastAsia"/>
          <w:bCs/>
          <w:sz w:val="28"/>
          <w:szCs w:val="28"/>
        </w:rPr>
        <w:t>客家</w:t>
      </w:r>
      <w:proofErr w:type="gramEnd"/>
      <w:r w:rsidR="003D02B2" w:rsidRPr="003D02B2">
        <w:rPr>
          <w:rFonts w:eastAsia="標楷體" w:hint="eastAsia"/>
          <w:bCs/>
          <w:sz w:val="28"/>
          <w:szCs w:val="28"/>
        </w:rPr>
        <w:t>文學館、客家音樂館、鍾肇政文學館及鄧雨賢音樂館</w:t>
      </w:r>
      <w:r w:rsidR="003D02B2">
        <w:rPr>
          <w:rFonts w:eastAsia="標楷體" w:hint="eastAsia"/>
          <w:bCs/>
          <w:sz w:val="28"/>
          <w:szCs w:val="28"/>
        </w:rPr>
        <w:t>等</w:t>
      </w:r>
      <w:r w:rsidR="00B772F6">
        <w:rPr>
          <w:rFonts w:eastAsia="標楷體" w:hint="eastAsia"/>
          <w:bCs/>
          <w:sz w:val="28"/>
          <w:szCs w:val="28"/>
        </w:rPr>
        <w:t>修繕</w:t>
      </w:r>
      <w:r w:rsidR="003D02B2">
        <w:rPr>
          <w:rFonts w:eastAsia="標楷體" w:hint="eastAsia"/>
          <w:bCs/>
          <w:sz w:val="28"/>
          <w:szCs w:val="28"/>
        </w:rPr>
        <w:t>工程，</w:t>
      </w:r>
      <w:proofErr w:type="gramStart"/>
      <w:r w:rsidR="003D02B2">
        <w:rPr>
          <w:rFonts w:eastAsia="標楷體" w:hint="eastAsia"/>
          <w:bCs/>
          <w:sz w:val="28"/>
          <w:szCs w:val="28"/>
        </w:rPr>
        <w:t>致進館</w:t>
      </w:r>
      <w:proofErr w:type="gramEnd"/>
      <w:r w:rsidR="003D02B2">
        <w:rPr>
          <w:rFonts w:eastAsia="標楷體" w:hint="eastAsia"/>
          <w:bCs/>
          <w:sz w:val="28"/>
          <w:szCs w:val="28"/>
        </w:rPr>
        <w:t>人次較</w:t>
      </w:r>
      <w:proofErr w:type="gramStart"/>
      <w:r w:rsidR="003D02B2">
        <w:rPr>
          <w:rFonts w:eastAsia="標楷體" w:hint="eastAsia"/>
          <w:bCs/>
          <w:sz w:val="28"/>
          <w:szCs w:val="28"/>
        </w:rPr>
        <w:t>103</w:t>
      </w:r>
      <w:proofErr w:type="gramEnd"/>
      <w:r w:rsidR="003D02B2">
        <w:rPr>
          <w:rFonts w:eastAsia="標楷體" w:hint="eastAsia"/>
          <w:bCs/>
          <w:sz w:val="28"/>
          <w:szCs w:val="28"/>
        </w:rPr>
        <w:t>年度微幅下降外，</w:t>
      </w:r>
      <w:proofErr w:type="gramStart"/>
      <w:r w:rsidR="003D02B2">
        <w:rPr>
          <w:rFonts w:eastAsia="標楷體" w:hint="eastAsia"/>
          <w:bCs/>
          <w:sz w:val="28"/>
          <w:szCs w:val="28"/>
        </w:rPr>
        <w:t>均</w:t>
      </w:r>
      <w:r w:rsidR="00A3541A">
        <w:rPr>
          <w:rFonts w:eastAsia="標楷體" w:hint="eastAsia"/>
          <w:bCs/>
          <w:sz w:val="28"/>
          <w:szCs w:val="28"/>
        </w:rPr>
        <w:t>呈逐年</w:t>
      </w:r>
      <w:proofErr w:type="gramEnd"/>
      <w:r w:rsidR="00A3541A">
        <w:rPr>
          <w:rFonts w:eastAsia="標楷體" w:hint="eastAsia"/>
          <w:bCs/>
          <w:sz w:val="28"/>
          <w:szCs w:val="28"/>
        </w:rPr>
        <w:t>成長之趨勢。</w:t>
      </w:r>
    </w:p>
    <w:p w:rsidR="00FB34F6" w:rsidRDefault="00FB34F6" w:rsidP="00FB34F6">
      <w:r>
        <w:rPr>
          <w:noProof/>
        </w:rPr>
        <w:drawing>
          <wp:inline distT="0" distB="0" distL="0" distR="0" wp14:anchorId="49C607CE" wp14:editId="4D264267">
            <wp:extent cx="5274310" cy="3076575"/>
            <wp:effectExtent l="0" t="0" r="254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2B2" w:rsidRPr="00AE602B" w:rsidRDefault="00FB34F6" w:rsidP="00AE602B">
      <w:pPr>
        <w:autoSpaceDE w:val="0"/>
        <w:autoSpaceDN w:val="0"/>
        <w:spacing w:beforeLines="150" w:before="540" w:afterLines="150" w:after="540" w:line="240" w:lineRule="exact"/>
        <w:ind w:left="1185" w:hangingChars="370" w:hanging="1185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落實</w:t>
      </w:r>
      <w:r w:rsidR="00AE602B" w:rsidRPr="00AE602B">
        <w:rPr>
          <w:rFonts w:eastAsia="標楷體" w:hint="eastAsia"/>
          <w:b/>
          <w:bCs/>
          <w:sz w:val="32"/>
          <w:szCs w:val="32"/>
        </w:rPr>
        <w:t>館舍多元經營及館舍園區軟硬體改善</w:t>
      </w:r>
    </w:p>
    <w:p w:rsidR="00F80036" w:rsidRDefault="00B11056" w:rsidP="00F80036">
      <w:pPr>
        <w:snapToGrid w:val="0"/>
        <w:spacing w:afterLines="50" w:after="180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探究近幾年進館人次成長持穩的原因，有賴</w:t>
      </w:r>
      <w:r w:rsidR="007626DA" w:rsidRPr="007626DA">
        <w:rPr>
          <w:rFonts w:eastAsia="標楷體" w:hint="eastAsia"/>
          <w:bCs/>
          <w:sz w:val="28"/>
          <w:szCs w:val="28"/>
        </w:rPr>
        <w:t>館舍多元經營</w:t>
      </w:r>
      <w:r w:rsidR="007626DA">
        <w:rPr>
          <w:rFonts w:eastAsia="標楷體" w:hint="eastAsia"/>
          <w:bCs/>
          <w:sz w:val="28"/>
          <w:szCs w:val="28"/>
        </w:rPr>
        <w:t>及</w:t>
      </w:r>
      <w:r w:rsidR="003C79B0">
        <w:rPr>
          <w:rFonts w:eastAsia="標楷體" w:hint="eastAsia"/>
          <w:bCs/>
          <w:sz w:val="28"/>
          <w:szCs w:val="28"/>
        </w:rPr>
        <w:t>改善</w:t>
      </w:r>
      <w:r w:rsidR="007626DA" w:rsidRPr="007626DA">
        <w:rPr>
          <w:rFonts w:eastAsia="標楷體" w:hint="eastAsia"/>
          <w:bCs/>
          <w:sz w:val="28"/>
          <w:szCs w:val="28"/>
        </w:rPr>
        <w:lastRenderedPageBreak/>
        <w:t>館舍園區軟硬體</w:t>
      </w:r>
      <w:r w:rsidR="003C79B0">
        <w:rPr>
          <w:rFonts w:eastAsia="標楷體" w:hint="eastAsia"/>
          <w:bCs/>
          <w:sz w:val="28"/>
          <w:szCs w:val="28"/>
        </w:rPr>
        <w:t>設施</w:t>
      </w:r>
      <w:r w:rsidR="00FB34F6">
        <w:rPr>
          <w:rFonts w:eastAsia="標楷體" w:hint="eastAsia"/>
          <w:bCs/>
          <w:sz w:val="28"/>
          <w:szCs w:val="28"/>
        </w:rPr>
        <w:t>等</w:t>
      </w:r>
      <w:r w:rsidR="007626DA" w:rsidRPr="007626DA">
        <w:rPr>
          <w:rFonts w:eastAsia="標楷體" w:hint="eastAsia"/>
          <w:bCs/>
          <w:sz w:val="28"/>
          <w:szCs w:val="28"/>
        </w:rPr>
        <w:t>施政目標之</w:t>
      </w:r>
      <w:r w:rsidR="00FB34F6">
        <w:rPr>
          <w:rFonts w:eastAsia="標楷體" w:hint="eastAsia"/>
          <w:bCs/>
          <w:sz w:val="28"/>
          <w:szCs w:val="28"/>
        </w:rPr>
        <w:t>落實</w:t>
      </w:r>
      <w:r w:rsidR="007626DA" w:rsidRPr="007626DA">
        <w:rPr>
          <w:rFonts w:eastAsia="標楷體" w:hint="eastAsia"/>
          <w:bCs/>
          <w:sz w:val="28"/>
          <w:szCs w:val="28"/>
        </w:rPr>
        <w:t>，</w:t>
      </w:r>
      <w:r w:rsidR="00F90133">
        <w:rPr>
          <w:rFonts w:eastAsia="標楷體" w:hint="eastAsia"/>
          <w:bCs/>
          <w:sz w:val="28"/>
          <w:szCs w:val="28"/>
        </w:rPr>
        <w:t>藉由</w:t>
      </w:r>
      <w:r w:rsidR="007626DA" w:rsidRPr="007626DA">
        <w:rPr>
          <w:rFonts w:eastAsia="標楷體" w:hint="eastAsia"/>
          <w:bCs/>
          <w:sz w:val="28"/>
          <w:szCs w:val="28"/>
        </w:rPr>
        <w:t>館舍藝文展演活動</w:t>
      </w:r>
      <w:r w:rsidR="00FB34F6">
        <w:rPr>
          <w:rFonts w:eastAsia="標楷體" w:hint="eastAsia"/>
          <w:bCs/>
          <w:sz w:val="28"/>
          <w:szCs w:val="28"/>
        </w:rPr>
        <w:t>、</w:t>
      </w:r>
      <w:proofErr w:type="gramStart"/>
      <w:r w:rsidR="007626DA" w:rsidRPr="007626DA">
        <w:rPr>
          <w:rFonts w:eastAsia="標楷體" w:hint="eastAsia"/>
          <w:bCs/>
          <w:sz w:val="28"/>
          <w:szCs w:val="28"/>
        </w:rPr>
        <w:t>特</w:t>
      </w:r>
      <w:proofErr w:type="gramEnd"/>
      <w:r w:rsidR="007626DA" w:rsidRPr="007626DA">
        <w:rPr>
          <w:rFonts w:eastAsia="標楷體" w:hint="eastAsia"/>
          <w:bCs/>
          <w:sz w:val="28"/>
          <w:szCs w:val="28"/>
        </w:rPr>
        <w:t>展室展覽</w:t>
      </w:r>
      <w:r w:rsidR="00F90133">
        <w:rPr>
          <w:rFonts w:eastAsia="標楷體" w:hint="eastAsia"/>
          <w:bCs/>
          <w:sz w:val="28"/>
          <w:szCs w:val="28"/>
        </w:rPr>
        <w:t>的舉辦，及</w:t>
      </w:r>
      <w:r w:rsidR="00FB34F6" w:rsidRPr="00AE602B">
        <w:rPr>
          <w:rFonts w:eastAsia="標楷體" w:hint="eastAsia"/>
          <w:bCs/>
          <w:sz w:val="28"/>
          <w:szCs w:val="28"/>
        </w:rPr>
        <w:t>以軟硬體設施設備充實客家文化館</w:t>
      </w:r>
      <w:r w:rsidR="00FB34F6">
        <w:rPr>
          <w:rFonts w:eastAsia="標楷體" w:hint="eastAsia"/>
          <w:bCs/>
          <w:sz w:val="28"/>
          <w:szCs w:val="28"/>
        </w:rPr>
        <w:t>等政策</w:t>
      </w:r>
      <w:r w:rsidR="00FB34F6" w:rsidRPr="00AE602B">
        <w:rPr>
          <w:rFonts w:eastAsia="標楷體" w:hint="eastAsia"/>
          <w:bCs/>
          <w:sz w:val="28"/>
          <w:szCs w:val="28"/>
        </w:rPr>
        <w:t>，</w:t>
      </w:r>
      <w:r w:rsidR="003C79B0">
        <w:rPr>
          <w:rFonts w:eastAsia="標楷體" w:hint="eastAsia"/>
          <w:bCs/>
          <w:sz w:val="28"/>
          <w:szCs w:val="28"/>
        </w:rPr>
        <w:t>有效</w:t>
      </w:r>
      <w:r w:rsidR="00FB34F6" w:rsidRPr="00AE602B">
        <w:rPr>
          <w:rFonts w:eastAsia="標楷體" w:hint="eastAsia"/>
          <w:bCs/>
          <w:sz w:val="28"/>
          <w:szCs w:val="28"/>
        </w:rPr>
        <w:t>吸引</w:t>
      </w:r>
      <w:proofErr w:type="gramStart"/>
      <w:r w:rsidR="00FB34F6" w:rsidRPr="00AE602B">
        <w:rPr>
          <w:rFonts w:eastAsia="標楷體" w:hint="eastAsia"/>
          <w:bCs/>
          <w:sz w:val="28"/>
          <w:szCs w:val="28"/>
        </w:rPr>
        <w:t>民眾來館參觀</w:t>
      </w:r>
      <w:proofErr w:type="gramEnd"/>
      <w:r w:rsidR="00FB34F6">
        <w:rPr>
          <w:rFonts w:eastAsia="標楷體" w:hint="eastAsia"/>
          <w:bCs/>
          <w:sz w:val="28"/>
          <w:szCs w:val="28"/>
        </w:rPr>
        <w:t>。</w:t>
      </w:r>
      <w:r w:rsidR="00A3541A">
        <w:rPr>
          <w:rFonts w:eastAsia="標楷體" w:hint="eastAsia"/>
          <w:bCs/>
          <w:sz w:val="28"/>
          <w:szCs w:val="28"/>
        </w:rPr>
        <w:t xml:space="preserve"> </w:t>
      </w:r>
    </w:p>
    <w:p w:rsidR="00FB34F6" w:rsidRPr="00D0489B" w:rsidRDefault="00FB34F6" w:rsidP="00FB34F6">
      <w:pPr>
        <w:autoSpaceDE w:val="0"/>
        <w:autoSpaceDN w:val="0"/>
        <w:spacing w:beforeLines="150" w:before="540" w:afterLines="150" w:after="540" w:line="240" w:lineRule="exact"/>
        <w:ind w:left="1185" w:hangingChars="370" w:hanging="1185"/>
        <w:rPr>
          <w:rFonts w:eastAsia="標楷體"/>
          <w:b/>
          <w:sz w:val="32"/>
          <w:szCs w:val="32"/>
          <w:lang w:eastAsia="zh-CN"/>
        </w:rPr>
      </w:pPr>
      <w:r>
        <w:rPr>
          <w:rFonts w:eastAsia="標楷體" w:hint="eastAsia"/>
          <w:b/>
          <w:bCs/>
          <w:sz w:val="32"/>
          <w:szCs w:val="32"/>
        </w:rPr>
        <w:t>館</w:t>
      </w:r>
      <w:r w:rsidR="003C79B0">
        <w:rPr>
          <w:rFonts w:eastAsia="標楷體" w:hint="eastAsia"/>
          <w:b/>
          <w:bCs/>
          <w:sz w:val="32"/>
          <w:szCs w:val="32"/>
        </w:rPr>
        <w:t>內各區域</w:t>
      </w:r>
      <w:r>
        <w:rPr>
          <w:rFonts w:eastAsia="標楷體" w:hint="eastAsia"/>
          <w:b/>
          <w:bCs/>
          <w:sz w:val="32"/>
          <w:szCs w:val="32"/>
        </w:rPr>
        <w:t>參觀人次分</w:t>
      </w:r>
      <w:r w:rsidR="00224C2E">
        <w:rPr>
          <w:rFonts w:eastAsia="標楷體" w:hint="eastAsia"/>
          <w:b/>
          <w:bCs/>
          <w:sz w:val="32"/>
          <w:szCs w:val="32"/>
        </w:rPr>
        <w:t>佈</w:t>
      </w:r>
      <w:r w:rsidR="003C79B0">
        <w:rPr>
          <w:rFonts w:eastAsia="標楷體" w:hint="eastAsia"/>
          <w:b/>
          <w:bCs/>
          <w:sz w:val="32"/>
          <w:szCs w:val="32"/>
        </w:rPr>
        <w:t>情形</w:t>
      </w:r>
    </w:p>
    <w:p w:rsidR="00F80036" w:rsidRDefault="00224C2E" w:rsidP="00224C2E">
      <w:pPr>
        <w:snapToGrid w:val="0"/>
        <w:spacing w:afterLines="50" w:after="180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依</w:t>
      </w:r>
      <w:r w:rsidRPr="00B772F6">
        <w:rPr>
          <w:rFonts w:eastAsia="標楷體" w:hint="eastAsia"/>
          <w:bCs/>
          <w:sz w:val="28"/>
          <w:szCs w:val="28"/>
        </w:rPr>
        <w:t>桃園</w:t>
      </w:r>
      <w:r w:rsidR="00FB34F6" w:rsidRPr="00B772F6">
        <w:rPr>
          <w:rFonts w:eastAsia="標楷體" w:hint="eastAsia"/>
          <w:bCs/>
          <w:sz w:val="28"/>
          <w:szCs w:val="28"/>
        </w:rPr>
        <w:t>市客家文化館</w:t>
      </w:r>
      <w:proofErr w:type="gramStart"/>
      <w:r w:rsidR="003C79B0" w:rsidRPr="00B772F6">
        <w:rPr>
          <w:rFonts w:eastAsia="標楷體" w:hint="eastAsia"/>
          <w:bCs/>
          <w:sz w:val="28"/>
          <w:szCs w:val="28"/>
        </w:rPr>
        <w:t>館</w:t>
      </w:r>
      <w:proofErr w:type="gramEnd"/>
      <w:r w:rsidR="003C79B0" w:rsidRPr="00B772F6">
        <w:rPr>
          <w:rFonts w:eastAsia="標楷體" w:hint="eastAsia"/>
          <w:bCs/>
          <w:sz w:val="28"/>
          <w:szCs w:val="28"/>
        </w:rPr>
        <w:t>內</w:t>
      </w:r>
      <w:r w:rsidRPr="00B772F6">
        <w:rPr>
          <w:rFonts w:eastAsia="標楷體" w:hint="eastAsia"/>
          <w:bCs/>
          <w:sz w:val="28"/>
          <w:szCs w:val="28"/>
        </w:rPr>
        <w:t>各</w:t>
      </w:r>
      <w:r w:rsidR="003C79B0" w:rsidRPr="00B772F6">
        <w:rPr>
          <w:rFonts w:eastAsia="標楷體" w:hint="eastAsia"/>
          <w:bCs/>
          <w:sz w:val="28"/>
          <w:szCs w:val="28"/>
        </w:rPr>
        <w:t>區域</w:t>
      </w:r>
      <w:r w:rsidR="00FB34F6" w:rsidRPr="00B772F6">
        <w:rPr>
          <w:rFonts w:eastAsia="標楷體" w:hint="eastAsia"/>
          <w:bCs/>
          <w:sz w:val="28"/>
          <w:szCs w:val="28"/>
        </w:rPr>
        <w:t>進館人次</w:t>
      </w:r>
      <w:r w:rsidRPr="00B772F6">
        <w:rPr>
          <w:rFonts w:eastAsia="標楷體" w:hint="eastAsia"/>
          <w:bCs/>
          <w:sz w:val="28"/>
          <w:szCs w:val="28"/>
        </w:rPr>
        <w:t>觀察</w:t>
      </w:r>
      <w:r w:rsidR="00FB34F6" w:rsidRPr="00B772F6">
        <w:rPr>
          <w:rFonts w:eastAsia="標楷體" w:hint="eastAsia"/>
          <w:bCs/>
          <w:sz w:val="28"/>
          <w:szCs w:val="28"/>
        </w:rPr>
        <w:t>，</w:t>
      </w:r>
      <w:proofErr w:type="gramStart"/>
      <w:r w:rsidRPr="00B772F6">
        <w:rPr>
          <w:rFonts w:eastAsia="標楷體" w:hint="eastAsia"/>
          <w:bCs/>
          <w:sz w:val="28"/>
          <w:szCs w:val="28"/>
        </w:rPr>
        <w:t>105</w:t>
      </w:r>
      <w:proofErr w:type="gramEnd"/>
      <w:r w:rsidRPr="00B772F6">
        <w:rPr>
          <w:rFonts w:eastAsia="標楷體" w:hint="eastAsia"/>
          <w:bCs/>
          <w:sz w:val="28"/>
          <w:szCs w:val="28"/>
        </w:rPr>
        <w:t>年度以</w:t>
      </w:r>
      <w:proofErr w:type="gramStart"/>
      <w:r w:rsidRPr="00B772F6">
        <w:rPr>
          <w:rFonts w:eastAsia="標楷體" w:hint="eastAsia"/>
          <w:bCs/>
          <w:sz w:val="28"/>
          <w:szCs w:val="28"/>
        </w:rPr>
        <w:t>特展室占</w:t>
      </w:r>
      <w:proofErr w:type="gramEnd"/>
      <w:r w:rsidRPr="00B772F6">
        <w:rPr>
          <w:rFonts w:eastAsia="標楷體" w:hint="eastAsia"/>
          <w:bCs/>
          <w:sz w:val="28"/>
          <w:szCs w:val="28"/>
        </w:rPr>
        <w:t>40%</w:t>
      </w:r>
      <w:r w:rsidRPr="00B772F6">
        <w:rPr>
          <w:rFonts w:eastAsia="標楷體" w:hint="eastAsia"/>
          <w:bCs/>
          <w:sz w:val="28"/>
          <w:szCs w:val="28"/>
        </w:rPr>
        <w:t>最高，假日廣場及後方公園等戶外空間</w:t>
      </w:r>
      <w:r w:rsidR="00C20480" w:rsidRPr="00B772F6">
        <w:rPr>
          <w:rFonts w:eastAsia="標楷體" w:hint="eastAsia"/>
          <w:bCs/>
          <w:sz w:val="28"/>
          <w:szCs w:val="28"/>
        </w:rPr>
        <w:t>占</w:t>
      </w:r>
      <w:r w:rsidRPr="00B772F6">
        <w:rPr>
          <w:rFonts w:eastAsia="標楷體" w:hint="eastAsia"/>
          <w:bCs/>
          <w:sz w:val="28"/>
          <w:szCs w:val="28"/>
        </w:rPr>
        <w:t>26%</w:t>
      </w:r>
      <w:r w:rsidRPr="00B772F6">
        <w:rPr>
          <w:rFonts w:eastAsia="標楷體" w:hint="eastAsia"/>
          <w:bCs/>
          <w:sz w:val="28"/>
          <w:szCs w:val="28"/>
        </w:rPr>
        <w:t>次之，再次為出借場地設置之郵局</w:t>
      </w:r>
      <w:r w:rsidR="00C20480" w:rsidRPr="00B772F6">
        <w:rPr>
          <w:rFonts w:eastAsia="標楷體" w:hint="eastAsia"/>
          <w:bCs/>
          <w:sz w:val="28"/>
          <w:szCs w:val="28"/>
        </w:rPr>
        <w:t>占</w:t>
      </w:r>
      <w:r w:rsidRPr="00B772F6">
        <w:rPr>
          <w:rFonts w:eastAsia="標楷體" w:hint="eastAsia"/>
          <w:bCs/>
          <w:sz w:val="28"/>
          <w:szCs w:val="28"/>
        </w:rPr>
        <w:t>11%</w:t>
      </w:r>
      <w:r w:rsidRPr="00B772F6">
        <w:rPr>
          <w:rFonts w:eastAsia="標楷體" w:hint="eastAsia"/>
          <w:bCs/>
          <w:sz w:val="28"/>
          <w:szCs w:val="28"/>
        </w:rPr>
        <w:t>，</w:t>
      </w:r>
      <w:r w:rsidR="00F90133" w:rsidRPr="00B772F6">
        <w:rPr>
          <w:rFonts w:eastAsia="標楷體" w:hint="eastAsia"/>
          <w:bCs/>
          <w:sz w:val="28"/>
          <w:szCs w:val="28"/>
        </w:rPr>
        <w:t>主因</w:t>
      </w:r>
      <w:r w:rsidRPr="00B772F6">
        <w:rPr>
          <w:rFonts w:eastAsia="標楷體" w:hint="eastAsia"/>
          <w:bCs/>
          <w:sz w:val="28"/>
          <w:szCs w:val="28"/>
        </w:rPr>
        <w:t>係舉辦陶藝、水墨、書法、油畫、攝影等客家藝文展覽、新增桐花</w:t>
      </w:r>
      <w:r w:rsidRPr="00B772F6">
        <w:rPr>
          <w:rFonts w:eastAsia="標楷體" w:hint="eastAsia"/>
          <w:bCs/>
          <w:sz w:val="28"/>
          <w:szCs w:val="28"/>
        </w:rPr>
        <w:t>3D</w:t>
      </w:r>
      <w:r w:rsidRPr="00B772F6">
        <w:rPr>
          <w:rFonts w:eastAsia="標楷體" w:hint="eastAsia"/>
          <w:bCs/>
          <w:sz w:val="28"/>
          <w:szCs w:val="28"/>
        </w:rPr>
        <w:t>地景</w:t>
      </w:r>
      <w:proofErr w:type="gramStart"/>
      <w:r w:rsidRPr="00B772F6">
        <w:rPr>
          <w:rFonts w:eastAsia="標楷體" w:hint="eastAsia"/>
          <w:bCs/>
          <w:sz w:val="28"/>
          <w:szCs w:val="28"/>
        </w:rPr>
        <w:t>藝</w:t>
      </w:r>
      <w:r w:rsidRPr="00224C2E">
        <w:rPr>
          <w:rFonts w:eastAsia="標楷體" w:hint="eastAsia"/>
          <w:bCs/>
          <w:sz w:val="28"/>
          <w:szCs w:val="28"/>
        </w:rPr>
        <w:t>術及桐花</w:t>
      </w:r>
      <w:proofErr w:type="gramEnd"/>
      <w:r w:rsidRPr="00224C2E">
        <w:rPr>
          <w:rFonts w:eastAsia="標楷體" w:hint="eastAsia"/>
          <w:bCs/>
          <w:sz w:val="28"/>
          <w:szCs w:val="28"/>
        </w:rPr>
        <w:t>咕咕鐘等亮點設施</w:t>
      </w:r>
      <w:r w:rsidR="00DE1348">
        <w:rPr>
          <w:rFonts w:eastAsia="標楷體" w:hint="eastAsia"/>
          <w:bCs/>
          <w:sz w:val="28"/>
          <w:szCs w:val="28"/>
        </w:rPr>
        <w:t>及舉辦</w:t>
      </w:r>
      <w:r w:rsidRPr="00FB34F6">
        <w:rPr>
          <w:rFonts w:eastAsia="標楷體" w:hint="eastAsia"/>
          <w:bCs/>
          <w:sz w:val="28"/>
          <w:szCs w:val="28"/>
        </w:rPr>
        <w:t>日頭花假日廣場藝文活動</w:t>
      </w:r>
      <w:r w:rsidR="00F90133">
        <w:rPr>
          <w:rFonts w:eastAsia="標楷體" w:hint="eastAsia"/>
          <w:bCs/>
          <w:sz w:val="28"/>
          <w:szCs w:val="28"/>
        </w:rPr>
        <w:t>等措施</w:t>
      </w:r>
      <w:r w:rsidR="00DE1348">
        <w:rPr>
          <w:rFonts w:eastAsia="標楷體" w:hint="eastAsia"/>
          <w:bCs/>
          <w:sz w:val="28"/>
          <w:szCs w:val="28"/>
        </w:rPr>
        <w:t>具</w:t>
      </w:r>
      <w:r w:rsidR="00F90133">
        <w:rPr>
          <w:rFonts w:eastAsia="標楷體" w:hint="eastAsia"/>
          <w:bCs/>
          <w:sz w:val="28"/>
          <w:szCs w:val="28"/>
        </w:rPr>
        <w:t>其</w:t>
      </w:r>
      <w:r w:rsidR="00DE1348">
        <w:rPr>
          <w:rFonts w:eastAsia="標楷體" w:hint="eastAsia"/>
          <w:bCs/>
          <w:sz w:val="28"/>
          <w:szCs w:val="28"/>
        </w:rPr>
        <w:t>成效</w:t>
      </w:r>
      <w:r w:rsidR="00FB34F6">
        <w:rPr>
          <w:rFonts w:eastAsia="標楷體" w:hint="eastAsia"/>
          <w:bCs/>
          <w:sz w:val="28"/>
          <w:szCs w:val="28"/>
        </w:rPr>
        <w:t>。</w:t>
      </w:r>
    </w:p>
    <w:p w:rsidR="0082477C" w:rsidRPr="00FB34F6" w:rsidRDefault="0082477C" w:rsidP="00224C2E">
      <w:pPr>
        <w:snapToGrid w:val="0"/>
        <w:spacing w:afterLines="50" w:after="180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</w:p>
    <w:p w:rsidR="0082477C" w:rsidRPr="00FB34F6" w:rsidRDefault="0082477C">
      <w:pPr>
        <w:rPr>
          <w:rFonts w:eastAsia="標楷體"/>
          <w:bCs/>
          <w:sz w:val="28"/>
          <w:szCs w:val="28"/>
        </w:rPr>
      </w:pPr>
      <w:bookmarkStart w:id="0" w:name="_GoBack"/>
      <w:r w:rsidRPr="00D24965">
        <w:rPr>
          <w:noProof/>
        </w:rPr>
        <w:drawing>
          <wp:inline distT="0" distB="0" distL="0" distR="0" wp14:anchorId="4E39DE76" wp14:editId="1D182EC9">
            <wp:extent cx="5471160" cy="381762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DE60B5" w:rsidRDefault="00DE60B5">
      <w:r>
        <w:rPr>
          <w:rFonts w:eastAsia="標楷體" w:hint="eastAsia"/>
          <w:sz w:val="22"/>
        </w:rPr>
        <w:t>資料來源：</w:t>
      </w:r>
      <w:r w:rsidR="00224C2E">
        <w:rPr>
          <w:rFonts w:eastAsia="標楷體" w:hint="eastAsia"/>
          <w:sz w:val="22"/>
        </w:rPr>
        <w:t>桃園市政府客家事務局</w:t>
      </w:r>
    </w:p>
    <w:sectPr w:rsidR="00DE60B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35" w:rsidRDefault="00147C35" w:rsidP="00C20480">
      <w:r>
        <w:separator/>
      </w:r>
    </w:p>
  </w:endnote>
  <w:endnote w:type="continuationSeparator" w:id="0">
    <w:p w:rsidR="00147C35" w:rsidRDefault="00147C35" w:rsidP="00C2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8B" w:rsidRPr="006F358B" w:rsidRDefault="006F358B" w:rsidP="006F358B">
    <w:pPr>
      <w:pStyle w:val="aa"/>
      <w:jc w:val="center"/>
      <w:rPr>
        <w:rFonts w:ascii="標楷體" w:eastAsia="標楷體" w:hAnsi="標楷體"/>
      </w:rPr>
    </w:pPr>
    <w:r w:rsidRPr="006F358B">
      <w:rPr>
        <w:rFonts w:ascii="標楷體" w:eastAsia="標楷體" w:hAnsi="標楷體" w:hint="eastAsia"/>
      </w:rPr>
      <w:t>第</w:t>
    </w:r>
    <w:r w:rsidRPr="006F358B">
      <w:rPr>
        <w:rFonts w:ascii="標楷體" w:eastAsia="標楷體" w:hAnsi="標楷體"/>
      </w:rPr>
      <w:fldChar w:fldCharType="begin"/>
    </w:r>
    <w:r w:rsidRPr="006F358B">
      <w:rPr>
        <w:rFonts w:ascii="標楷體" w:eastAsia="標楷體" w:hAnsi="標楷體"/>
      </w:rPr>
      <w:instrText>PAGE   \* MERGEFORMAT</w:instrText>
    </w:r>
    <w:r w:rsidRPr="006F358B">
      <w:rPr>
        <w:rFonts w:ascii="標楷體" w:eastAsia="標楷體" w:hAnsi="標楷體"/>
      </w:rPr>
      <w:fldChar w:fldCharType="separate"/>
    </w:r>
    <w:r w:rsidRPr="006F358B">
      <w:rPr>
        <w:rFonts w:ascii="標楷體" w:eastAsia="標楷體" w:hAnsi="標楷體"/>
        <w:noProof/>
        <w:lang w:val="zh-TW"/>
      </w:rPr>
      <w:t>2</w:t>
    </w:r>
    <w:r w:rsidRPr="006F358B">
      <w:rPr>
        <w:rFonts w:ascii="標楷體" w:eastAsia="標楷體" w:hAnsi="標楷體"/>
      </w:rPr>
      <w:fldChar w:fldCharType="end"/>
    </w:r>
    <w:r w:rsidRPr="006F358B">
      <w:rPr>
        <w:rFonts w:ascii="標楷體" w:eastAsia="標楷體" w:hAnsi="標楷體" w:hint="eastAsia"/>
      </w:rPr>
      <w:t>頁，共2頁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35" w:rsidRDefault="00147C35" w:rsidP="00C20480">
      <w:r>
        <w:separator/>
      </w:r>
    </w:p>
  </w:footnote>
  <w:footnote w:type="continuationSeparator" w:id="0">
    <w:p w:rsidR="00147C35" w:rsidRDefault="00147C35" w:rsidP="00C2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03E5"/>
    <w:multiLevelType w:val="hybridMultilevel"/>
    <w:tmpl w:val="0CDE1778"/>
    <w:lvl w:ilvl="0" w:tplc="5B227AC8">
      <w:start w:val="1"/>
      <w:numFmt w:val="decimalFullWidth"/>
      <w:lvlText w:val="%1、"/>
      <w:lvlJc w:val="left"/>
      <w:pPr>
        <w:ind w:left="2138" w:hanging="72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A"/>
    <w:rsid w:val="000177FE"/>
    <w:rsid w:val="00080BB7"/>
    <w:rsid w:val="0009072A"/>
    <w:rsid w:val="00147C35"/>
    <w:rsid w:val="00192363"/>
    <w:rsid w:val="001E640E"/>
    <w:rsid w:val="00224C2E"/>
    <w:rsid w:val="0023508C"/>
    <w:rsid w:val="0024064B"/>
    <w:rsid w:val="003019AB"/>
    <w:rsid w:val="003A756A"/>
    <w:rsid w:val="003A75D2"/>
    <w:rsid w:val="003C79B0"/>
    <w:rsid w:val="003D02B2"/>
    <w:rsid w:val="0043002F"/>
    <w:rsid w:val="00497E9D"/>
    <w:rsid w:val="004E18DB"/>
    <w:rsid w:val="0056678D"/>
    <w:rsid w:val="006C43A1"/>
    <w:rsid w:val="006E141A"/>
    <w:rsid w:val="006F358B"/>
    <w:rsid w:val="0073414C"/>
    <w:rsid w:val="007626DA"/>
    <w:rsid w:val="0082477C"/>
    <w:rsid w:val="009330CF"/>
    <w:rsid w:val="009952C3"/>
    <w:rsid w:val="009B0A4C"/>
    <w:rsid w:val="009F261C"/>
    <w:rsid w:val="00A3541A"/>
    <w:rsid w:val="00AB194A"/>
    <w:rsid w:val="00AE602B"/>
    <w:rsid w:val="00B11056"/>
    <w:rsid w:val="00B5770E"/>
    <w:rsid w:val="00B772F6"/>
    <w:rsid w:val="00B8785B"/>
    <w:rsid w:val="00C20480"/>
    <w:rsid w:val="00C63316"/>
    <w:rsid w:val="00D24965"/>
    <w:rsid w:val="00D52C4A"/>
    <w:rsid w:val="00DC1393"/>
    <w:rsid w:val="00DE1348"/>
    <w:rsid w:val="00DE471B"/>
    <w:rsid w:val="00DE60B5"/>
    <w:rsid w:val="00E07173"/>
    <w:rsid w:val="00E17009"/>
    <w:rsid w:val="00E70AF5"/>
    <w:rsid w:val="00E82096"/>
    <w:rsid w:val="00F027D7"/>
    <w:rsid w:val="00F02B24"/>
    <w:rsid w:val="00F71F59"/>
    <w:rsid w:val="00F80036"/>
    <w:rsid w:val="00F90133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C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F80036"/>
    <w:pPr>
      <w:jc w:val="right"/>
    </w:pPr>
    <w:rPr>
      <w:rFonts w:ascii="Times New Roman" w:eastAsia="雅真中楷" w:hAnsi="Times New Roman" w:cs="Times New Roman"/>
      <w:szCs w:val="20"/>
    </w:rPr>
  </w:style>
  <w:style w:type="character" w:customStyle="1" w:styleId="a6">
    <w:name w:val="日期 字元"/>
    <w:basedOn w:val="a0"/>
    <w:link w:val="a5"/>
    <w:rsid w:val="00F80036"/>
    <w:rPr>
      <w:rFonts w:ascii="Times New Roman" w:eastAsia="雅真中楷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7626DA"/>
    <w:pPr>
      <w:ind w:leftChars="200" w:left="480"/>
    </w:pPr>
    <w:rPr>
      <w:rFonts w:ascii="Times New Roman" w:eastAsia="標楷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C20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048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0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0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C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F80036"/>
    <w:pPr>
      <w:jc w:val="right"/>
    </w:pPr>
    <w:rPr>
      <w:rFonts w:ascii="Times New Roman" w:eastAsia="雅真中楷" w:hAnsi="Times New Roman" w:cs="Times New Roman"/>
      <w:szCs w:val="20"/>
    </w:rPr>
  </w:style>
  <w:style w:type="character" w:customStyle="1" w:styleId="a6">
    <w:name w:val="日期 字元"/>
    <w:basedOn w:val="a0"/>
    <w:link w:val="a5"/>
    <w:rsid w:val="00F80036"/>
    <w:rPr>
      <w:rFonts w:ascii="Times New Roman" w:eastAsia="雅真中楷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7626DA"/>
    <w:pPr>
      <w:ind w:leftChars="200" w:left="480"/>
    </w:pPr>
    <w:rPr>
      <w:rFonts w:ascii="Times New Roman" w:eastAsia="標楷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C20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048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0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0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近五年桃園市</a:t>
            </a: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客家文化館進館人次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年度總人次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工作表1!$A$2:$A$6</c:f>
              <c:strCache>
                <c:ptCount val="5"/>
                <c:pt idx="0">
                  <c:v>101年</c:v>
                </c:pt>
                <c:pt idx="1">
                  <c:v>102年</c:v>
                </c:pt>
                <c:pt idx="2">
                  <c:v>103年</c:v>
                </c:pt>
                <c:pt idx="3">
                  <c:v>104年</c:v>
                </c:pt>
                <c:pt idx="4">
                  <c:v>105年</c:v>
                </c:pt>
              </c:strCache>
            </c:strRef>
          </c:cat>
          <c:val>
            <c:numRef>
              <c:f>工作表1!$B$2:$B$6</c:f>
              <c:numCache>
                <c:formatCode>#,##0_);[Red]\(#,##0\)</c:formatCode>
                <c:ptCount val="5"/>
                <c:pt idx="0">
                  <c:v>364659</c:v>
                </c:pt>
                <c:pt idx="1">
                  <c:v>432021</c:v>
                </c:pt>
                <c:pt idx="2">
                  <c:v>530660</c:v>
                </c:pt>
                <c:pt idx="3">
                  <c:v>483117</c:v>
                </c:pt>
                <c:pt idx="4">
                  <c:v>605679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6C-4A10-A34A-5EE9BF5F8C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8"/>
        <c:axId val="136264320"/>
        <c:axId val="147682048"/>
      </c:barChart>
      <c:catAx>
        <c:axId val="13626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7682048"/>
        <c:crosses val="autoZero"/>
        <c:auto val="1"/>
        <c:lblAlgn val="ctr"/>
        <c:lblOffset val="100"/>
        <c:noMultiLvlLbl val="0"/>
      </c:catAx>
      <c:valAx>
        <c:axId val="1476820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1"/>
        <c:majorTickMark val="none"/>
        <c:minorTickMark val="none"/>
        <c:tickLblPos val="nextTo"/>
        <c:crossAx val="1362643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105</a:t>
            </a:r>
            <a:r>
              <a:rPr lang="zh-TW"/>
              <a:t>年度桃園市客家文化館進館人次分佈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76324581989919E-2"/>
          <c:y val="0.20021924654627751"/>
          <c:w val="0.82393240190380101"/>
          <c:h val="0.7074292360161567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桃園市客家文化館105年度</c:v>
                </c:pt>
              </c:strCache>
            </c:strRef>
          </c:tx>
          <c:dPt>
            <c:idx val="0"/>
            <c:bubble3D val="0"/>
            <c:spPr>
              <a:ln w="25400"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EE-455C-8D5A-74EEC5483954}"/>
              </c:ext>
            </c:extLst>
          </c:dPt>
          <c:dPt>
            <c:idx val="2"/>
            <c:bubble3D val="0"/>
            <c:spPr>
              <a:ln w="25400">
                <a:solidFill>
                  <a:schemeClr val="bg1"/>
                </a:solidFill>
              </a:ln>
            </c:spPr>
          </c:dPt>
          <c:dPt>
            <c:idx val="4"/>
            <c:bubble3D val="0"/>
            <c:spPr>
              <a:ln w="2540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-0.2410614933578985"/>
                  <c:y val="3.828406179766451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400">
                      <a:solidFill>
                        <a:schemeClr val="bg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EE-455C-8D5A-74EEC548395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zh-TW" altLang="en-US" sz="1200"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
</a:t>
                    </a:r>
                    <a:r>
                      <a:rPr lang="en-US" altLang="zh-TW" sz="1200"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5%</a:t>
                    </a:r>
                    <a:endParaRPr lang="en-US" altLang="zh-TW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EE-455C-8D5A-74EEC5483954}"/>
                </c:ext>
              </c:extLst>
            </c:dLbl>
            <c:dLbl>
              <c:idx val="3"/>
              <c:layout>
                <c:manualLayout>
                  <c:x val="0.18570102135561745"/>
                  <c:y val="-0.1833406677458730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0.13710401450515064"/>
                  <c:y val="4.86984037174994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numFmt formatCode="General" sourceLinked="0"/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工作表1!$A$2:$A$7</c:f>
              <c:strCache>
                <c:ptCount val="6"/>
                <c:pt idx="0">
                  <c:v>特展室</c:v>
                </c:pt>
                <c:pt idx="1">
                  <c:v>文音館</c:v>
                </c:pt>
                <c:pt idx="2">
                  <c:v>其他</c:v>
                </c:pt>
                <c:pt idx="3">
                  <c:v>廣場戶外空間</c:v>
                </c:pt>
                <c:pt idx="4">
                  <c:v>郵局</c:v>
                </c:pt>
                <c:pt idx="5">
                  <c:v>演藝廳</c:v>
                </c:pt>
              </c:strCache>
            </c:strRef>
          </c:cat>
          <c:val>
            <c:numRef>
              <c:f>工作表1!$B$2:$B$7</c:f>
              <c:numCache>
                <c:formatCode>_-* #,##0_-;\-* #,##0_-;_-* "-"??_-;_-@_-</c:formatCode>
                <c:ptCount val="6"/>
                <c:pt idx="0">
                  <c:v>240654</c:v>
                </c:pt>
                <c:pt idx="1">
                  <c:v>53833</c:v>
                </c:pt>
                <c:pt idx="2">
                  <c:v>27147</c:v>
                </c:pt>
                <c:pt idx="3">
                  <c:v>158988</c:v>
                </c:pt>
                <c:pt idx="4">
                  <c:v>67823</c:v>
                </c:pt>
                <c:pt idx="5">
                  <c:v>57234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EE-455C-8D5A-74EEC548395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7AEA-CD4D-4E8A-BD6E-1CC7E55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2017-09-25T06:30:00Z</cp:lastPrinted>
  <dcterms:created xsi:type="dcterms:W3CDTF">2017-08-09T01:28:00Z</dcterms:created>
  <dcterms:modified xsi:type="dcterms:W3CDTF">2017-09-25T06:34:00Z</dcterms:modified>
</cp:coreProperties>
</file>