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67" w:rsidRDefault="00DC3B67">
      <w:pPr>
        <w:rPr>
          <w:rFonts w:ascii="標楷體" w:eastAsia="標楷體" w:hAnsi="標楷體"/>
        </w:rPr>
      </w:pPr>
    </w:p>
    <w:p w:rsidR="00DC3B67" w:rsidRDefault="00DC3B67">
      <w:pPr>
        <w:rPr>
          <w:rFonts w:ascii="標楷體" w:eastAsia="標楷體" w:hAnsi="標楷體"/>
        </w:rPr>
      </w:pPr>
    </w:p>
    <w:p w:rsidR="00A756BF" w:rsidRPr="002A2B59" w:rsidRDefault="00A756BF" w:rsidP="00A756B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106年各</w:t>
      </w:r>
      <w:r w:rsidRPr="002A2B59">
        <w:rPr>
          <w:rFonts w:ascii="標楷體" w:eastAsia="標楷體" w:hAnsi="標楷體" w:hint="eastAsia"/>
        </w:rPr>
        <w:t>機關學校符合請領</w:t>
      </w:r>
      <w:r>
        <w:rPr>
          <w:rFonts w:ascii="標楷體" w:eastAsia="標楷體" w:hAnsi="標楷體" w:hint="eastAsia"/>
        </w:rPr>
        <w:t>三節</w:t>
      </w:r>
      <w:r w:rsidRPr="002A2B59">
        <w:rPr>
          <w:rFonts w:ascii="標楷體" w:eastAsia="標楷體" w:hAnsi="標楷體" w:hint="eastAsia"/>
        </w:rPr>
        <w:t>節慰問金之退休人員及撫卹遺族人數調查表</w:t>
      </w:r>
    </w:p>
    <w:p w:rsidR="00A756BF" w:rsidRPr="002A2B59" w:rsidRDefault="00A756BF" w:rsidP="00A756BF">
      <w:pPr>
        <w:jc w:val="right"/>
        <w:rPr>
          <w:rFonts w:ascii="標楷體" w:eastAsia="標楷體" w:hAnsi="標楷體"/>
        </w:rPr>
      </w:pPr>
      <w:r w:rsidRPr="002A2B59">
        <w:rPr>
          <w:rFonts w:ascii="標楷體" w:eastAsia="標楷體" w:hAnsi="標楷體" w:hint="eastAsia"/>
        </w:rPr>
        <w:t>單位：人數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8"/>
      </w:tblGrid>
      <w:tr w:rsidR="009A7A99" w:rsidTr="009A7A99"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支(兼)領月退休金在25,000元以下退休公務人員</w:t>
            </w:r>
          </w:p>
        </w:tc>
        <w:tc>
          <w:tcPr>
            <w:tcW w:w="1077" w:type="dxa"/>
            <w:vAlign w:val="center"/>
          </w:tcPr>
          <w:p w:rsidR="009A7A99" w:rsidRPr="00A756BF" w:rsidRDefault="009A7A99" w:rsidP="00A75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因公成殘退休公務人員</w:t>
            </w: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退休時未具工作能力之退休公務人員</w:t>
            </w: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</w:t>
            </w:r>
          </w:p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撫卹遺族</w:t>
            </w: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  <w:r w:rsidRPr="00A756BF">
              <w:rPr>
                <w:rFonts w:ascii="標楷體" w:eastAsia="標楷體" w:hAnsi="標楷體" w:hint="eastAsia"/>
              </w:rPr>
              <w:t>支(兼)領月退休金在25</w:t>
            </w:r>
            <w:r>
              <w:rPr>
                <w:rFonts w:ascii="標楷體" w:eastAsia="標楷體" w:hAnsi="標楷體" w:hint="eastAsia"/>
              </w:rPr>
              <w:t>,</w:t>
            </w:r>
            <w:r w:rsidRPr="00A756BF"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 w:hint="eastAsia"/>
              </w:rPr>
              <w:t>元以下退休教育</w:t>
            </w:r>
            <w:r w:rsidRPr="00A756BF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因公成殘退休教育</w:t>
            </w:r>
            <w:r w:rsidRPr="00A756BF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退休時未具工作能力之退休教育</w:t>
            </w:r>
            <w:r w:rsidRPr="00A756BF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077" w:type="dxa"/>
            <w:vAlign w:val="center"/>
          </w:tcPr>
          <w:p w:rsidR="009A7A99" w:rsidRPr="00A756BF" w:rsidRDefault="009A7A99" w:rsidP="00A75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</w:t>
            </w:r>
            <w:r w:rsidRPr="00A756BF">
              <w:rPr>
                <w:rFonts w:ascii="標楷體" w:eastAsia="標楷體" w:hAnsi="標楷體" w:hint="eastAsia"/>
              </w:rPr>
              <w:t>人員</w:t>
            </w:r>
          </w:p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  <w:r w:rsidRPr="00A756BF">
              <w:rPr>
                <w:rFonts w:ascii="標楷體" w:eastAsia="標楷體" w:hAnsi="標楷體" w:hint="eastAsia"/>
              </w:rPr>
              <w:t>撫卹遺族</w:t>
            </w:r>
          </w:p>
        </w:tc>
        <w:tc>
          <w:tcPr>
            <w:tcW w:w="1078" w:type="dxa"/>
            <w:vAlign w:val="center"/>
          </w:tcPr>
          <w:p w:rsidR="009A7A99" w:rsidRDefault="009A7A99" w:rsidP="00266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技工</w:t>
            </w:r>
          </w:p>
          <w:p w:rsidR="009A7A99" w:rsidRDefault="009A7A99" w:rsidP="00266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工友</w:t>
            </w:r>
          </w:p>
          <w:p w:rsidR="009A7A99" w:rsidRPr="002A2B59" w:rsidRDefault="009A7A99" w:rsidP="00266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駕駛</w:t>
            </w:r>
          </w:p>
        </w:tc>
      </w:tr>
      <w:tr w:rsidR="009A7A99" w:rsidTr="009A7A99">
        <w:trPr>
          <w:trHeight w:val="826"/>
        </w:trPr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9A7A99" w:rsidRPr="00A756BF" w:rsidRDefault="009A7A99" w:rsidP="00A7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Align w:val="center"/>
          </w:tcPr>
          <w:p w:rsidR="009A7A99" w:rsidRDefault="009A7A99" w:rsidP="00A756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C3B67" w:rsidRDefault="007244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eastAsia="新細明體" w:hAnsi="新細明體" w:hint="eastAsia"/>
        </w:rPr>
        <w:t>：</w:t>
      </w:r>
    </w:p>
    <w:p w:rsidR="007244F5" w:rsidRDefault="006223A6" w:rsidP="006223A6">
      <w:pPr>
        <w:ind w:left="384" w:rightChars="100" w:right="240" w:hangingChars="160" w:hanging="3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7244F5">
        <w:rPr>
          <w:rFonts w:ascii="標楷體" w:eastAsia="標楷體" w:hAnsi="標楷體" w:hint="eastAsia"/>
        </w:rPr>
        <w:t>依</w:t>
      </w:r>
      <w:r w:rsidR="007244F5" w:rsidRPr="007244F5">
        <w:rPr>
          <w:rFonts w:ascii="標楷體" w:eastAsia="標楷體" w:hAnsi="標楷體" w:hint="eastAsia"/>
        </w:rPr>
        <w:t>105年9月8日院授人給揆字第1050053161號函</w:t>
      </w:r>
      <w:r w:rsidR="007244F5">
        <w:rPr>
          <w:rFonts w:ascii="標楷體" w:eastAsia="標楷體" w:hAnsi="標楷體" w:hint="eastAsia"/>
        </w:rPr>
        <w:t>規定以，三節慰問金發給對象限縮如下，並自106年1月1日起實施</w:t>
      </w:r>
      <w:r w:rsidR="007244F5">
        <w:rPr>
          <w:rFonts w:ascii="新細明體" w:eastAsia="新細明體" w:hAnsi="新細明體" w:hint="eastAsia"/>
        </w:rPr>
        <w:t>：</w:t>
      </w:r>
    </w:p>
    <w:p w:rsidR="007244F5" w:rsidRDefault="006223A6" w:rsidP="006223A6">
      <w:pPr>
        <w:ind w:leftChars="178" w:left="708" w:rightChars="100" w:right="24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7244F5" w:rsidRPr="007244F5">
        <w:rPr>
          <w:rFonts w:ascii="標楷體" w:eastAsia="標楷體" w:hAnsi="標楷體" w:hint="eastAsia"/>
        </w:rPr>
        <w:t>支（兼）領月退休金在新臺幣25,000元以下（兼領月退休金者係以</w:t>
      </w:r>
      <w:r w:rsidR="007244F5" w:rsidRPr="00965438">
        <w:rPr>
          <w:rFonts w:ascii="標楷體" w:eastAsia="標楷體" w:hAnsi="標楷體" w:hint="eastAsia"/>
          <w:b/>
          <w:color w:val="FF0000"/>
          <w:u w:val="single"/>
        </w:rPr>
        <w:t>原全額退休金</w:t>
      </w:r>
      <w:r w:rsidR="007244F5" w:rsidRPr="007244F5">
        <w:rPr>
          <w:rFonts w:ascii="標楷體" w:eastAsia="標楷體" w:hAnsi="標楷體" w:hint="eastAsia"/>
        </w:rPr>
        <w:t>為計算基準）之退休</w:t>
      </w:r>
      <w:r w:rsidR="007244F5" w:rsidRPr="009A7A99">
        <w:rPr>
          <w:rFonts w:ascii="標楷體" w:eastAsia="標楷體" w:hAnsi="標楷體" w:hint="eastAsia"/>
          <w:b/>
          <w:u w:val="single"/>
        </w:rPr>
        <w:t>公教</w:t>
      </w:r>
      <w:r w:rsidR="007244F5" w:rsidRPr="007244F5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，例如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張三支領1/2月退休金，每月13,000元，換算為全額月退休金為26,000元，故張三不符合支領規定。</w:t>
      </w:r>
    </w:p>
    <w:p w:rsidR="007244F5" w:rsidRDefault="006223A6" w:rsidP="006223A6">
      <w:pPr>
        <w:ind w:leftChars="177" w:left="425" w:rightChars="100"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7244F5" w:rsidRPr="007244F5">
        <w:rPr>
          <w:rFonts w:ascii="標楷體" w:eastAsia="標楷體" w:hAnsi="標楷體" w:hint="eastAsia"/>
        </w:rPr>
        <w:t>因公成殘之退休</w:t>
      </w:r>
      <w:r w:rsidR="009A7A99" w:rsidRPr="009A7A99">
        <w:rPr>
          <w:rFonts w:ascii="標楷體" w:eastAsia="標楷體" w:hAnsi="標楷體" w:hint="eastAsia"/>
          <w:b/>
          <w:u w:val="single"/>
        </w:rPr>
        <w:t>公教</w:t>
      </w:r>
      <w:r w:rsidR="007244F5" w:rsidRPr="007244F5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。</w:t>
      </w:r>
    </w:p>
    <w:p w:rsidR="007244F5" w:rsidRDefault="006223A6" w:rsidP="006223A6">
      <w:pPr>
        <w:ind w:leftChars="177" w:left="425" w:rightChars="100"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="007244F5" w:rsidRPr="00965438">
        <w:rPr>
          <w:rFonts w:ascii="標楷體" w:eastAsia="標楷體" w:hAnsi="標楷體" w:hint="eastAsia"/>
          <w:b/>
          <w:u w:val="single"/>
        </w:rPr>
        <w:t>退休時</w:t>
      </w:r>
      <w:r w:rsidR="007244F5" w:rsidRPr="007244F5">
        <w:rPr>
          <w:rFonts w:ascii="標楷體" w:eastAsia="標楷體" w:hAnsi="標楷體" w:hint="eastAsia"/>
        </w:rPr>
        <w:t>未具工作能力之退休</w:t>
      </w:r>
      <w:r w:rsidR="007244F5" w:rsidRPr="009A7A99">
        <w:rPr>
          <w:rFonts w:ascii="標楷體" w:eastAsia="標楷體" w:hAnsi="標楷體" w:hint="eastAsia"/>
          <w:b/>
          <w:u w:val="single"/>
        </w:rPr>
        <w:t>公教</w:t>
      </w:r>
      <w:r w:rsidR="007244F5" w:rsidRPr="007244F5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。</w:t>
      </w:r>
    </w:p>
    <w:p w:rsidR="00965438" w:rsidRDefault="00965438" w:rsidP="00965438">
      <w:pPr>
        <w:ind w:rightChars="100" w:right="24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2、前開所稱「未具工作能力」，係指公教人員退休時符合下列要件之一者</w:t>
      </w:r>
      <w:r>
        <w:rPr>
          <w:rFonts w:ascii="新細明體" w:eastAsia="新細明體" w:hAnsi="新細明體" w:hint="eastAsia"/>
        </w:rPr>
        <w:t>：</w:t>
      </w:r>
    </w:p>
    <w:p w:rsidR="00965438" w:rsidRPr="00965438" w:rsidRDefault="00965438" w:rsidP="00965438">
      <w:pPr>
        <w:ind w:leftChars="118" w:left="523" w:rightChars="100" w:right="240" w:hangingChars="100" w:hanging="240"/>
        <w:rPr>
          <w:rFonts w:ascii="標楷體" w:eastAsia="標楷體" w:hAnsi="標楷體"/>
        </w:rPr>
      </w:pPr>
      <w:r w:rsidRPr="00965438">
        <w:rPr>
          <w:rFonts w:ascii="標楷體" w:eastAsia="標楷體" w:hAnsi="標楷體" w:hint="eastAsia"/>
        </w:rPr>
        <w:t>(1)符合公教人員保險殘廢給付標準表所定之全殘廢或半殘廢，經中央衛生主管機關評鑑合格地區醫院以上之醫院證明</w:t>
      </w:r>
      <w:r w:rsidR="009577F2">
        <w:rPr>
          <w:rFonts w:ascii="標楷體" w:eastAsia="標楷體" w:hAnsi="標楷體" w:hint="eastAsia"/>
        </w:rPr>
        <w:t>(殘廢用語業改為失能)。</w:t>
      </w:r>
    </w:p>
    <w:p w:rsidR="00965438" w:rsidRPr="00965438" w:rsidRDefault="00965438" w:rsidP="00965438">
      <w:pPr>
        <w:ind w:leftChars="118" w:left="283" w:rightChars="100" w:right="240"/>
        <w:rPr>
          <w:rFonts w:ascii="標楷體" w:eastAsia="標楷體" w:hAnsi="標楷體"/>
        </w:rPr>
      </w:pPr>
      <w:r w:rsidRPr="00965438">
        <w:rPr>
          <w:rFonts w:ascii="標楷體" w:eastAsia="標楷體" w:hAnsi="標楷體" w:hint="eastAsia"/>
        </w:rPr>
        <w:t>(2)領有身心障礙手冊</w:t>
      </w:r>
      <w:r w:rsidR="009577F2">
        <w:rPr>
          <w:rFonts w:ascii="標楷體" w:eastAsia="標楷體" w:hAnsi="標楷體" w:hint="eastAsia"/>
        </w:rPr>
        <w:t>。</w:t>
      </w:r>
    </w:p>
    <w:p w:rsidR="00965438" w:rsidRPr="00965438" w:rsidRDefault="00965438" w:rsidP="00965438">
      <w:pPr>
        <w:ind w:leftChars="118" w:left="283" w:rightChars="100" w:right="240"/>
        <w:rPr>
          <w:rFonts w:ascii="標楷體" w:eastAsia="標楷體" w:hAnsi="標楷體"/>
        </w:rPr>
      </w:pPr>
      <w:r w:rsidRPr="00965438">
        <w:rPr>
          <w:rFonts w:ascii="標楷體" w:eastAsia="標楷體" w:hAnsi="標楷體" w:hint="eastAsia"/>
        </w:rPr>
        <w:t>(3)精神耗弱經中央衛生主管機關評鑑合格地區醫院以上之醫院證明</w:t>
      </w:r>
      <w:r w:rsidR="009577F2">
        <w:rPr>
          <w:rFonts w:ascii="標楷體" w:eastAsia="標楷體" w:hAnsi="標楷體" w:hint="eastAsia"/>
        </w:rPr>
        <w:t>。</w:t>
      </w:r>
    </w:p>
    <w:p w:rsidR="00965438" w:rsidRDefault="00965438" w:rsidP="00965438">
      <w:pPr>
        <w:ind w:leftChars="118" w:left="283" w:rightChars="100" w:right="240"/>
        <w:rPr>
          <w:rFonts w:ascii="標楷體" w:eastAsia="標楷體" w:hAnsi="標楷體"/>
        </w:rPr>
      </w:pPr>
      <w:r w:rsidRPr="00965438">
        <w:rPr>
          <w:rFonts w:ascii="標楷體" w:eastAsia="標楷體" w:hAnsi="標楷體" w:hint="eastAsia"/>
        </w:rPr>
        <w:t>(4)因疾病或傷害，連續請假逾6個月而無法銷假上班</w:t>
      </w:r>
      <w:r w:rsidR="009577F2">
        <w:rPr>
          <w:rFonts w:ascii="標楷體" w:eastAsia="標楷體" w:hAnsi="標楷體" w:hint="eastAsia"/>
        </w:rPr>
        <w:t>。</w:t>
      </w:r>
    </w:p>
    <w:p w:rsidR="00B634FB" w:rsidRPr="00B634FB" w:rsidRDefault="00B634FB" w:rsidP="00B634FB">
      <w:pPr>
        <w:ind w:rightChars="100" w:right="240"/>
        <w:rPr>
          <w:rFonts w:ascii="標楷體" w:eastAsia="標楷體" w:hAnsi="標楷體" w:cs="Times New Roman"/>
        </w:rPr>
      </w:pPr>
      <w:r w:rsidRPr="00B634FB">
        <w:rPr>
          <w:rFonts w:ascii="標楷體" w:eastAsia="標楷體" w:hAnsi="標楷體" w:cs="Times New Roman" w:hint="eastAsia"/>
        </w:rPr>
        <w:t>3、退職工友（含技工、駕駛），考量其在職從事基層勞動工作等特性，仍依原規定辦理。</w:t>
      </w:r>
    </w:p>
    <w:p w:rsidR="009577F2" w:rsidRDefault="00B634FB" w:rsidP="009577F2">
      <w:pPr>
        <w:ind w:rightChars="100" w:righ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</w:t>
      </w:r>
      <w:bookmarkStart w:id="0" w:name="_GoBack"/>
      <w:bookmarkEnd w:id="0"/>
      <w:r w:rsidR="009577F2">
        <w:rPr>
          <w:rFonts w:ascii="標楷體" w:eastAsia="標楷體" w:hAnsi="標楷體" w:hint="eastAsia"/>
        </w:rPr>
        <w:t>、請依現有退休人員</w:t>
      </w:r>
      <w:r w:rsidR="009A7A99">
        <w:rPr>
          <w:rFonts w:ascii="標楷體" w:eastAsia="標楷體" w:hAnsi="標楷體" w:hint="eastAsia"/>
        </w:rPr>
        <w:t>、撫卹遺族</w:t>
      </w:r>
      <w:r w:rsidR="009577F2">
        <w:rPr>
          <w:rFonts w:ascii="標楷體" w:eastAsia="標楷體" w:hAnsi="標楷體" w:hint="eastAsia"/>
        </w:rPr>
        <w:t>審視，依前開規定及欄位核實填列人數。</w:t>
      </w:r>
    </w:p>
    <w:p w:rsidR="00B634FB" w:rsidRPr="00965438" w:rsidRDefault="00B634FB" w:rsidP="009577F2">
      <w:pPr>
        <w:ind w:rightChars="100" w:right="240"/>
        <w:rPr>
          <w:rFonts w:ascii="標楷體" w:eastAsia="標楷體" w:hAnsi="標楷體"/>
        </w:rPr>
      </w:pPr>
    </w:p>
    <w:sectPr w:rsidR="00B634FB" w:rsidRPr="00965438" w:rsidSect="002A2B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DB" w:rsidRDefault="003223DB" w:rsidP="009A7A99">
      <w:r>
        <w:separator/>
      </w:r>
    </w:p>
  </w:endnote>
  <w:endnote w:type="continuationSeparator" w:id="0">
    <w:p w:rsidR="003223DB" w:rsidRDefault="003223DB" w:rsidP="009A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DB" w:rsidRDefault="003223DB" w:rsidP="009A7A99">
      <w:r>
        <w:separator/>
      </w:r>
    </w:p>
  </w:footnote>
  <w:footnote w:type="continuationSeparator" w:id="0">
    <w:p w:rsidR="003223DB" w:rsidRDefault="003223DB" w:rsidP="009A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59"/>
    <w:rsid w:val="002A2B59"/>
    <w:rsid w:val="003223DB"/>
    <w:rsid w:val="006223A6"/>
    <w:rsid w:val="007244F5"/>
    <w:rsid w:val="007E1364"/>
    <w:rsid w:val="00892E5F"/>
    <w:rsid w:val="009577F2"/>
    <w:rsid w:val="00965438"/>
    <w:rsid w:val="009A7A99"/>
    <w:rsid w:val="00A756BF"/>
    <w:rsid w:val="00AF4A16"/>
    <w:rsid w:val="00B13795"/>
    <w:rsid w:val="00B55274"/>
    <w:rsid w:val="00B634FB"/>
    <w:rsid w:val="00C167EE"/>
    <w:rsid w:val="00DC3B67"/>
    <w:rsid w:val="00EA0CC7"/>
    <w:rsid w:val="00F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7A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7A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7A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7A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盧慧卿</dc:creator>
  <cp:lastModifiedBy>吳曄彤</cp:lastModifiedBy>
  <cp:revision>3</cp:revision>
  <cp:lastPrinted>2016-09-08T12:18:00Z</cp:lastPrinted>
  <dcterms:created xsi:type="dcterms:W3CDTF">2016-09-09T00:26:00Z</dcterms:created>
  <dcterms:modified xsi:type="dcterms:W3CDTF">2016-09-09T00:27:00Z</dcterms:modified>
</cp:coreProperties>
</file>