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081" w:rsidRDefault="00370AE1" w:rsidP="00516081">
      <w:pPr>
        <w:spacing w:line="480" w:lineRule="exact"/>
        <w:ind w:leftChars="0" w:left="0" w:firstLineChars="0" w:firstLine="0"/>
        <w:jc w:val="center"/>
        <w:rPr>
          <w:b/>
          <w:sz w:val="36"/>
          <w:szCs w:val="36"/>
        </w:rPr>
      </w:pPr>
      <w:r w:rsidRPr="00574AFA">
        <w:rPr>
          <w:rFonts w:hint="eastAsia"/>
          <w:b/>
          <w:sz w:val="36"/>
          <w:szCs w:val="36"/>
        </w:rPr>
        <w:t>桃園</w:t>
      </w:r>
      <w:r w:rsidRPr="008612B5">
        <w:rPr>
          <w:rFonts w:hint="eastAsia"/>
          <w:b/>
          <w:sz w:val="36"/>
          <w:szCs w:val="36"/>
        </w:rPr>
        <w:t>市</w:t>
      </w:r>
      <w:r w:rsidR="008612B5" w:rsidRPr="008612B5">
        <w:rPr>
          <w:rFonts w:ascii="標楷體" w:hint="eastAsia"/>
          <w:b/>
          <w:bCs/>
          <w:color w:val="FF0000"/>
          <w:sz w:val="36"/>
          <w:szCs w:val="36"/>
        </w:rPr>
        <w:t>○○</w:t>
      </w:r>
      <w:r w:rsidR="008612B5" w:rsidRPr="008612B5">
        <w:rPr>
          <w:rFonts w:ascii="標楷體" w:hint="eastAsia"/>
          <w:b/>
          <w:bCs/>
          <w:sz w:val="36"/>
          <w:szCs w:val="36"/>
        </w:rPr>
        <w:t>區</w:t>
      </w:r>
      <w:r w:rsidRPr="008612B5">
        <w:rPr>
          <w:rFonts w:hint="eastAsia"/>
          <w:b/>
          <w:sz w:val="36"/>
          <w:szCs w:val="36"/>
        </w:rPr>
        <w:t>農</w:t>
      </w:r>
      <w:r w:rsidRPr="00574AFA">
        <w:rPr>
          <w:rFonts w:hint="eastAsia"/>
          <w:b/>
          <w:sz w:val="36"/>
          <w:szCs w:val="36"/>
        </w:rPr>
        <w:t>耕土</w:t>
      </w:r>
      <w:r>
        <w:rPr>
          <w:rFonts w:hint="eastAsia"/>
          <w:b/>
          <w:sz w:val="36"/>
          <w:szCs w:val="36"/>
        </w:rPr>
        <w:t>地</w:t>
      </w:r>
      <w:r w:rsidRPr="00574AFA">
        <w:rPr>
          <w:rFonts w:hint="eastAsia"/>
          <w:b/>
          <w:sz w:val="36"/>
          <w:szCs w:val="36"/>
        </w:rPr>
        <w:t>面積編製說明</w:t>
      </w:r>
    </w:p>
    <w:p w:rsidR="00B64386" w:rsidRPr="00516081" w:rsidRDefault="00516081" w:rsidP="00516081">
      <w:pPr>
        <w:spacing w:line="480" w:lineRule="exact"/>
        <w:ind w:leftChars="0" w:left="0" w:firstLineChars="0" w:firstLine="0"/>
        <w:jc w:val="center"/>
        <w:rPr>
          <w:b/>
          <w:sz w:val="36"/>
          <w:szCs w:val="36"/>
        </w:rPr>
      </w:pPr>
      <w:r w:rsidRPr="00F54B94">
        <w:rPr>
          <w:rFonts w:hint="eastAsia"/>
          <w:b/>
          <w:color w:val="FF0000"/>
        </w:rPr>
        <w:t>一、</w:t>
      </w:r>
      <w:r w:rsidR="00B64386" w:rsidRPr="00F54B94">
        <w:rPr>
          <w:rFonts w:hint="eastAsia"/>
          <w:b/>
          <w:color w:val="FF0000"/>
        </w:rPr>
        <w:t>統計範圍及對象：</w:t>
      </w:r>
      <w:r w:rsidR="00B64386" w:rsidRPr="00516081">
        <w:rPr>
          <w:rFonts w:hint="eastAsia"/>
          <w:color w:val="FF0000"/>
        </w:rPr>
        <w:t>凡本</w:t>
      </w:r>
      <w:r w:rsidR="00A97196">
        <w:rPr>
          <w:rFonts w:hint="eastAsia"/>
          <w:color w:val="FF0000"/>
        </w:rPr>
        <w:t>區境內</w:t>
      </w:r>
      <w:r w:rsidR="00B64386" w:rsidRPr="00516081">
        <w:rPr>
          <w:rFonts w:hint="eastAsia"/>
          <w:color w:val="FF0000"/>
        </w:rPr>
        <w:t>可供種植經濟生產農作物之土地，無</w:t>
      </w:r>
      <w:r w:rsidR="00370AE1" w:rsidRPr="00516081">
        <w:rPr>
          <w:rFonts w:hint="eastAsia"/>
          <w:color w:val="FF0000"/>
        </w:rPr>
        <w:t>論</w:t>
      </w:r>
      <w:r w:rsidR="00B64386" w:rsidRPr="00516081">
        <w:rPr>
          <w:rFonts w:hint="eastAsia"/>
          <w:color w:val="FF0000"/>
        </w:rPr>
        <w:t>是否適宜耕作或合法作為農業使用與否</w:t>
      </w:r>
      <w:r w:rsidR="00370AE1" w:rsidRPr="00516081">
        <w:rPr>
          <w:rFonts w:hint="eastAsia"/>
          <w:color w:val="FF0000"/>
        </w:rPr>
        <w:t>，</w:t>
      </w:r>
      <w:r w:rsidR="00B64386" w:rsidRPr="00516081">
        <w:rPr>
          <w:rFonts w:hint="eastAsia"/>
          <w:color w:val="FF0000"/>
        </w:rPr>
        <w:t xml:space="preserve"> </w:t>
      </w:r>
    </w:p>
    <w:p w:rsidR="00370AE1" w:rsidRPr="00B64386" w:rsidRDefault="00516081" w:rsidP="00B64386">
      <w:pPr>
        <w:spacing w:line="480" w:lineRule="exact"/>
        <w:ind w:leftChars="0" w:left="0" w:firstLineChars="0" w:firstLine="0"/>
        <w:jc w:val="both"/>
        <w:rPr>
          <w:color w:val="FF0000"/>
        </w:rPr>
      </w:pPr>
      <w:r>
        <w:rPr>
          <w:rFonts w:hint="eastAsia"/>
          <w:color w:val="FF0000"/>
        </w:rPr>
        <w:t xml:space="preserve">    </w:t>
      </w:r>
      <w:proofErr w:type="gramStart"/>
      <w:r w:rsidR="00370AE1" w:rsidRPr="00B64386">
        <w:rPr>
          <w:rFonts w:hint="eastAsia"/>
          <w:color w:val="FF0000"/>
        </w:rPr>
        <w:t>均為統計</w:t>
      </w:r>
      <w:proofErr w:type="gramEnd"/>
      <w:r w:rsidR="00370AE1" w:rsidRPr="00B64386">
        <w:rPr>
          <w:rFonts w:hint="eastAsia"/>
          <w:color w:val="FF0000"/>
        </w:rPr>
        <w:t>對象。</w:t>
      </w:r>
    </w:p>
    <w:p w:rsidR="00370AE1" w:rsidRPr="00B64386" w:rsidRDefault="00B64386" w:rsidP="00370AE1">
      <w:pPr>
        <w:spacing w:line="480" w:lineRule="exact"/>
        <w:ind w:leftChars="0" w:left="0" w:firstLineChars="0" w:firstLine="0"/>
        <w:jc w:val="both"/>
        <w:rPr>
          <w:color w:val="FF0000"/>
        </w:rPr>
      </w:pPr>
      <w:r w:rsidRPr="00F54B94">
        <w:rPr>
          <w:rFonts w:hint="eastAsia"/>
          <w:b/>
          <w:color w:val="FF0000"/>
        </w:rPr>
        <w:t>二、統計標準時間：</w:t>
      </w:r>
      <w:r w:rsidRPr="00B64386">
        <w:rPr>
          <w:rFonts w:hint="eastAsia"/>
          <w:color w:val="FF0000"/>
        </w:rPr>
        <w:t>以每年一期作</w:t>
      </w:r>
      <w:r w:rsidR="00370AE1" w:rsidRPr="00B64386">
        <w:rPr>
          <w:rFonts w:hint="eastAsia"/>
          <w:color w:val="FF0000"/>
        </w:rPr>
        <w:t>之</w:t>
      </w:r>
      <w:r w:rsidRPr="00B64386">
        <w:rPr>
          <w:rFonts w:hint="eastAsia"/>
          <w:color w:val="FF0000"/>
        </w:rPr>
        <w:t>耕作</w:t>
      </w:r>
      <w:r w:rsidR="00370AE1" w:rsidRPr="00B64386">
        <w:rPr>
          <w:rFonts w:hint="eastAsia"/>
          <w:color w:val="FF0000"/>
        </w:rPr>
        <w:t>事實為</w:t>
      </w:r>
      <w:proofErr w:type="gramStart"/>
      <w:r w:rsidR="00370AE1" w:rsidRPr="00B64386">
        <w:rPr>
          <w:rFonts w:hint="eastAsia"/>
          <w:color w:val="FF0000"/>
        </w:rPr>
        <w:t>準</w:t>
      </w:r>
      <w:proofErr w:type="gramEnd"/>
      <w:r w:rsidR="00370AE1" w:rsidRPr="00B64386">
        <w:rPr>
          <w:rFonts w:hint="eastAsia"/>
          <w:color w:val="FF0000"/>
        </w:rPr>
        <w:t>。</w:t>
      </w:r>
    </w:p>
    <w:p w:rsidR="00370AE1" w:rsidRDefault="00370AE1" w:rsidP="00370AE1">
      <w:pPr>
        <w:spacing w:line="480" w:lineRule="exact"/>
        <w:ind w:leftChars="0" w:left="566" w:hangingChars="202" w:hanging="566"/>
        <w:jc w:val="both"/>
      </w:pPr>
      <w:r w:rsidRPr="00F54B94">
        <w:rPr>
          <w:rFonts w:hint="eastAsia"/>
          <w:b/>
        </w:rPr>
        <w:t>三、</w:t>
      </w:r>
      <w:r w:rsidRPr="00F54B94">
        <w:rPr>
          <w:rFonts w:hint="eastAsia"/>
          <w:b/>
        </w:rPr>
        <w:tab/>
      </w:r>
      <w:r w:rsidRPr="00F54B94">
        <w:rPr>
          <w:rFonts w:hint="eastAsia"/>
          <w:b/>
        </w:rPr>
        <w:t>分類標準：</w:t>
      </w:r>
      <w:r>
        <w:rPr>
          <w:rFonts w:hint="eastAsia"/>
        </w:rPr>
        <w:t>分耕作地、長期休閒地兩大類。耕作地分為短期耕作地、長期耕作地；短期耕作地再分為水稻、水稻以外之短期作、短期休閒。</w:t>
      </w:r>
    </w:p>
    <w:p w:rsidR="00370AE1" w:rsidRPr="00F54B94" w:rsidRDefault="00370AE1" w:rsidP="00370AE1">
      <w:pPr>
        <w:spacing w:line="480" w:lineRule="exact"/>
        <w:ind w:leftChars="0" w:left="0" w:firstLineChars="0" w:firstLine="0"/>
        <w:jc w:val="both"/>
        <w:rPr>
          <w:b/>
          <w:color w:val="FF0000"/>
        </w:rPr>
      </w:pPr>
      <w:r w:rsidRPr="00F54B94">
        <w:rPr>
          <w:rFonts w:hint="eastAsia"/>
          <w:b/>
          <w:color w:val="FF0000"/>
        </w:rPr>
        <w:t>四、統計</w:t>
      </w:r>
      <w:r w:rsidR="00F54B94">
        <w:rPr>
          <w:rFonts w:hint="eastAsia"/>
          <w:b/>
          <w:color w:val="FF0000"/>
        </w:rPr>
        <w:t>項</w:t>
      </w:r>
      <w:r w:rsidRPr="00F54B94">
        <w:rPr>
          <w:rFonts w:hint="eastAsia"/>
          <w:b/>
          <w:color w:val="FF0000"/>
        </w:rPr>
        <w:t>目定義：</w:t>
      </w:r>
    </w:p>
    <w:p w:rsidR="00370AE1" w:rsidRPr="00B64386" w:rsidRDefault="00370AE1" w:rsidP="00B64386">
      <w:pPr>
        <w:pStyle w:val="-cjk"/>
        <w:spacing w:before="102" w:beforeAutospacing="0" w:line="403" w:lineRule="atLeast"/>
        <w:ind w:left="960" w:hanging="400"/>
        <w:rPr>
          <w:rFonts w:ascii="Times New Roman" w:eastAsia="標楷體" w:hAnsi="Times New Roman" w:cs="Times New Roman"/>
          <w:color w:val="FF0000"/>
          <w:kern w:val="2"/>
          <w:sz w:val="28"/>
          <w:szCs w:val="20"/>
        </w:rPr>
      </w:pPr>
      <w:r w:rsidRPr="00B64386">
        <w:rPr>
          <w:rFonts w:ascii="Times New Roman" w:eastAsia="標楷體" w:hAnsi="Times New Roman" w:cs="Times New Roman" w:hint="eastAsia"/>
          <w:color w:val="FF0000"/>
          <w:kern w:val="2"/>
          <w:sz w:val="28"/>
          <w:szCs w:val="20"/>
        </w:rPr>
        <w:t>(</w:t>
      </w:r>
      <w:proofErr w:type="gramStart"/>
      <w:r w:rsidRPr="00B64386">
        <w:rPr>
          <w:rFonts w:ascii="Times New Roman" w:eastAsia="標楷體" w:hAnsi="Times New Roman" w:cs="Times New Roman" w:hint="eastAsia"/>
          <w:color w:val="FF0000"/>
          <w:kern w:val="2"/>
          <w:sz w:val="28"/>
          <w:szCs w:val="20"/>
        </w:rPr>
        <w:t>一</w:t>
      </w:r>
      <w:proofErr w:type="gramEnd"/>
      <w:r w:rsidRPr="00B64386">
        <w:rPr>
          <w:rFonts w:ascii="Times New Roman" w:eastAsia="標楷體" w:hAnsi="Times New Roman" w:cs="Times New Roman" w:hint="eastAsia"/>
          <w:color w:val="FF0000"/>
          <w:kern w:val="2"/>
          <w:sz w:val="28"/>
          <w:szCs w:val="20"/>
        </w:rPr>
        <w:t>)</w:t>
      </w:r>
      <w:r w:rsidR="00B64386" w:rsidRPr="00B64386">
        <w:rPr>
          <w:rFonts w:ascii="Times New Roman" w:eastAsia="標楷體" w:hAnsi="Times New Roman" w:cs="Times New Roman" w:hint="eastAsia"/>
          <w:color w:val="FF0000"/>
          <w:kern w:val="2"/>
          <w:sz w:val="28"/>
          <w:szCs w:val="20"/>
        </w:rPr>
        <w:t>農耕土地指不論現況種植與否，可供栽培作物之土地，包括短期耕作地、長期耕作地及長期休閒地。</w:t>
      </w:r>
    </w:p>
    <w:p w:rsidR="00370AE1" w:rsidRPr="00B64386" w:rsidRDefault="00370AE1" w:rsidP="00B64386">
      <w:pPr>
        <w:spacing w:line="480" w:lineRule="exact"/>
        <w:ind w:leftChars="202" w:left="566" w:firstLineChars="0" w:firstLine="0"/>
        <w:jc w:val="both"/>
        <w:rPr>
          <w:color w:val="FF0000"/>
        </w:rPr>
      </w:pPr>
      <w:r w:rsidRPr="00B64386">
        <w:rPr>
          <w:rFonts w:hint="eastAsia"/>
          <w:color w:val="FF0000"/>
        </w:rPr>
        <w:t>(</w:t>
      </w:r>
      <w:r w:rsidRPr="00B64386">
        <w:rPr>
          <w:rFonts w:hint="eastAsia"/>
          <w:color w:val="FF0000"/>
        </w:rPr>
        <w:t>二</w:t>
      </w:r>
      <w:r w:rsidRPr="00B64386">
        <w:rPr>
          <w:rFonts w:hint="eastAsia"/>
          <w:color w:val="FF0000"/>
        </w:rPr>
        <w:t>)</w:t>
      </w:r>
      <w:r w:rsidRPr="00B64386">
        <w:rPr>
          <w:rFonts w:hint="eastAsia"/>
          <w:color w:val="FF0000"/>
        </w:rPr>
        <w:t>耕作地：</w:t>
      </w:r>
    </w:p>
    <w:p w:rsidR="00370AE1" w:rsidRPr="00B64386" w:rsidRDefault="00B64386" w:rsidP="00370AE1">
      <w:pPr>
        <w:spacing w:line="480" w:lineRule="exact"/>
        <w:ind w:leftChars="500" w:left="1400" w:firstLineChars="0" w:firstLine="0"/>
        <w:jc w:val="both"/>
        <w:rPr>
          <w:color w:val="FF0000"/>
        </w:rPr>
      </w:pPr>
      <w:r w:rsidRPr="00B64386">
        <w:rPr>
          <w:rFonts w:hint="eastAsia"/>
          <w:color w:val="FF0000"/>
        </w:rPr>
        <w:t>1.</w:t>
      </w:r>
      <w:r w:rsidR="00370AE1" w:rsidRPr="00B64386">
        <w:rPr>
          <w:rFonts w:hint="eastAsia"/>
          <w:color w:val="FF0000"/>
        </w:rPr>
        <w:t>短期耕作地：</w:t>
      </w:r>
      <w:proofErr w:type="gramStart"/>
      <w:r w:rsidR="00370AE1" w:rsidRPr="00B64386">
        <w:rPr>
          <w:rFonts w:hint="eastAsia"/>
          <w:color w:val="FF0000"/>
        </w:rPr>
        <w:t>含能蓄水</w:t>
      </w:r>
      <w:proofErr w:type="gramEnd"/>
      <w:r w:rsidR="00370AE1" w:rsidRPr="00B64386">
        <w:rPr>
          <w:rFonts w:hint="eastAsia"/>
          <w:color w:val="FF0000"/>
        </w:rPr>
        <w:t>，經常可以栽培水稻之耕地、水稻以外之短期作耕地</w:t>
      </w:r>
      <w:r w:rsidR="00370AE1" w:rsidRPr="00B64386">
        <w:rPr>
          <w:rFonts w:hint="eastAsia"/>
          <w:color w:val="FF0000"/>
        </w:rPr>
        <w:t>(</w:t>
      </w:r>
      <w:r w:rsidR="00370AE1" w:rsidRPr="00B64386">
        <w:rPr>
          <w:rFonts w:hint="eastAsia"/>
          <w:color w:val="FF0000"/>
        </w:rPr>
        <w:t>蔬菜等</w:t>
      </w:r>
      <w:r w:rsidR="00370AE1" w:rsidRPr="00B64386">
        <w:rPr>
          <w:rFonts w:hint="eastAsia"/>
          <w:color w:val="FF0000"/>
        </w:rPr>
        <w:t>)</w:t>
      </w:r>
      <w:r w:rsidR="00370AE1" w:rsidRPr="00B64386">
        <w:rPr>
          <w:rFonts w:hint="eastAsia"/>
          <w:color w:val="FF0000"/>
        </w:rPr>
        <w:t>及短期休閒地。</w:t>
      </w:r>
    </w:p>
    <w:p w:rsidR="00370AE1" w:rsidRPr="00B64386" w:rsidRDefault="00B64386" w:rsidP="00370AE1">
      <w:pPr>
        <w:spacing w:line="480" w:lineRule="exact"/>
        <w:ind w:leftChars="500" w:left="1400" w:firstLineChars="0" w:firstLine="0"/>
        <w:jc w:val="both"/>
        <w:rPr>
          <w:color w:val="FF0000"/>
        </w:rPr>
      </w:pPr>
      <w:r w:rsidRPr="00B64386">
        <w:rPr>
          <w:rFonts w:hint="eastAsia"/>
          <w:color w:val="FF0000"/>
        </w:rPr>
        <w:t>2.</w:t>
      </w:r>
      <w:r w:rsidR="00370AE1" w:rsidRPr="00B64386">
        <w:rPr>
          <w:rFonts w:hint="eastAsia"/>
          <w:color w:val="FF0000"/>
        </w:rPr>
        <w:t>長期耕作地：指土壤不容易貯水或水量不足只能栽培</w:t>
      </w:r>
      <w:proofErr w:type="gramStart"/>
      <w:r w:rsidR="00370AE1" w:rsidRPr="00B64386">
        <w:rPr>
          <w:rFonts w:hint="eastAsia"/>
          <w:color w:val="FF0000"/>
        </w:rPr>
        <w:t>陸稻、</w:t>
      </w:r>
      <w:proofErr w:type="gramEnd"/>
      <w:r w:rsidR="00370AE1" w:rsidRPr="00B64386">
        <w:rPr>
          <w:rFonts w:hint="eastAsia"/>
          <w:color w:val="FF0000"/>
        </w:rPr>
        <w:t>雜糧及果樹類等之耕地。</w:t>
      </w:r>
    </w:p>
    <w:p w:rsidR="00370AE1" w:rsidRDefault="00B64386" w:rsidP="00951C82">
      <w:pPr>
        <w:spacing w:line="480" w:lineRule="exact"/>
        <w:ind w:leftChars="202" w:left="566" w:firstLineChars="0" w:firstLine="0"/>
        <w:jc w:val="both"/>
        <w:rPr>
          <w:color w:val="FF0000"/>
        </w:rPr>
      </w:pPr>
      <w:r w:rsidRPr="00B64386">
        <w:rPr>
          <w:rFonts w:hint="eastAsia"/>
          <w:color w:val="FF0000"/>
        </w:rPr>
        <w:t>(</w:t>
      </w:r>
      <w:r w:rsidRPr="00B64386">
        <w:rPr>
          <w:rFonts w:hint="eastAsia"/>
          <w:color w:val="FF0000"/>
        </w:rPr>
        <w:t>三</w:t>
      </w:r>
      <w:r w:rsidRPr="00B64386">
        <w:rPr>
          <w:rFonts w:hint="eastAsia"/>
          <w:color w:val="FF0000"/>
        </w:rPr>
        <w:t>)</w:t>
      </w:r>
      <w:r w:rsidR="00370AE1" w:rsidRPr="00B64386">
        <w:rPr>
          <w:rFonts w:hint="eastAsia"/>
          <w:color w:val="FF0000"/>
        </w:rPr>
        <w:t>長期休閒地：係指耕地長期荒蕪，未種植作物之土地。</w:t>
      </w:r>
    </w:p>
    <w:p w:rsidR="00370AE1" w:rsidRPr="00F54B94" w:rsidRDefault="00370AE1" w:rsidP="00370AE1">
      <w:pPr>
        <w:spacing w:line="480" w:lineRule="exact"/>
        <w:ind w:leftChars="0" w:left="0" w:firstLineChars="0" w:firstLine="0"/>
        <w:jc w:val="both"/>
        <w:rPr>
          <w:b/>
          <w:color w:val="FF0000"/>
        </w:rPr>
      </w:pPr>
      <w:r w:rsidRPr="00F54B94">
        <w:rPr>
          <w:rFonts w:hint="eastAsia"/>
          <w:b/>
          <w:color w:val="FF0000"/>
        </w:rPr>
        <w:t>五、資料蒐集方法及編製程序：</w:t>
      </w:r>
    </w:p>
    <w:p w:rsidR="00370AE1" w:rsidRDefault="00370AE1" w:rsidP="00370AE1">
      <w:pPr>
        <w:spacing w:line="480" w:lineRule="exact"/>
        <w:ind w:leftChars="202" w:left="1126" w:hanging="560"/>
        <w:jc w:val="both"/>
      </w:pPr>
      <w:r w:rsidRPr="00B94B94">
        <w:rPr>
          <w:rFonts w:hint="eastAsia"/>
          <w:color w:val="FF0000"/>
        </w:rPr>
        <w:t>(</w:t>
      </w:r>
      <w:proofErr w:type="gramStart"/>
      <w:r w:rsidRPr="00B94B94">
        <w:rPr>
          <w:rFonts w:hint="eastAsia"/>
          <w:color w:val="FF0000"/>
        </w:rPr>
        <w:t>一</w:t>
      </w:r>
      <w:proofErr w:type="gramEnd"/>
      <w:r w:rsidRPr="00B94B94">
        <w:rPr>
          <w:rFonts w:hint="eastAsia"/>
          <w:color w:val="FF0000"/>
        </w:rPr>
        <w:t xml:space="preserve">) </w:t>
      </w:r>
      <w:r w:rsidR="00951C82" w:rsidRPr="00951C82">
        <w:rPr>
          <w:rFonts w:hint="eastAsia"/>
          <w:color w:val="FF0000"/>
        </w:rPr>
        <w:t>農情調查員運用繪妥之航測基本圖，經</w:t>
      </w:r>
      <w:r w:rsidRPr="00951C82">
        <w:rPr>
          <w:rFonts w:hint="eastAsia"/>
          <w:color w:val="FF0000"/>
        </w:rPr>
        <w:t>田間實地踏勘，</w:t>
      </w:r>
      <w:r w:rsidR="00951C82" w:rsidRPr="00951C82">
        <w:rPr>
          <w:rFonts w:hint="eastAsia"/>
          <w:color w:val="FF0000"/>
        </w:rPr>
        <w:t>紀錄各項農作物及長短期休閒地面積，</w:t>
      </w:r>
      <w:r w:rsidR="00033615">
        <w:rPr>
          <w:rFonts w:hint="eastAsia"/>
          <w:color w:val="FF0000"/>
        </w:rPr>
        <w:t>以</w:t>
      </w:r>
      <w:r w:rsidR="00951C82" w:rsidRPr="00951C82">
        <w:rPr>
          <w:rFonts w:hint="eastAsia"/>
          <w:color w:val="FF0000"/>
        </w:rPr>
        <w:t>統計農耕土地各項面積</w:t>
      </w:r>
      <w:r w:rsidRPr="00951C82">
        <w:rPr>
          <w:rFonts w:hint="eastAsia"/>
          <w:color w:val="FF0000"/>
        </w:rPr>
        <w:t>。</w:t>
      </w:r>
    </w:p>
    <w:p w:rsidR="00370AE1" w:rsidRPr="002E5936" w:rsidRDefault="00370AE1" w:rsidP="00255C07">
      <w:pPr>
        <w:spacing w:line="480" w:lineRule="exact"/>
        <w:ind w:leftChars="202" w:left="1126" w:hanging="560"/>
        <w:jc w:val="both"/>
      </w:pPr>
      <w:r w:rsidRPr="00F458CF">
        <w:rPr>
          <w:rFonts w:hint="eastAsia"/>
          <w:color w:val="FF0000"/>
        </w:rPr>
        <w:t>(</w:t>
      </w:r>
      <w:r w:rsidR="00255C07" w:rsidRPr="00F458CF">
        <w:rPr>
          <w:rFonts w:hint="eastAsia"/>
          <w:color w:val="FF0000"/>
        </w:rPr>
        <w:t>二</w:t>
      </w:r>
      <w:r w:rsidRPr="00F458CF">
        <w:rPr>
          <w:rFonts w:hint="eastAsia"/>
          <w:color w:val="FF0000"/>
        </w:rPr>
        <w:t xml:space="preserve">) </w:t>
      </w:r>
      <w:r w:rsidR="00A97196" w:rsidRPr="00A97196">
        <w:rPr>
          <w:rFonts w:hint="eastAsia"/>
        </w:rPr>
        <w:t>本</w:t>
      </w:r>
      <w:r w:rsidRPr="002E5936">
        <w:rPr>
          <w:rFonts w:hint="eastAsia"/>
        </w:rPr>
        <w:t>公所按基本圖地區別編製表冊，陳報市</w:t>
      </w:r>
      <w:r w:rsidR="002F3A8A">
        <w:rPr>
          <w:rFonts w:hint="eastAsia"/>
        </w:rPr>
        <w:t>府</w:t>
      </w:r>
      <w:bookmarkStart w:id="0" w:name="_GoBack"/>
      <w:bookmarkEnd w:id="0"/>
      <w:r w:rsidR="00A97196">
        <w:rPr>
          <w:rFonts w:hint="eastAsia"/>
        </w:rPr>
        <w:t>農業局</w:t>
      </w:r>
      <w:r w:rsidRPr="002E5936">
        <w:rPr>
          <w:rFonts w:hint="eastAsia"/>
        </w:rPr>
        <w:t>彙編。</w:t>
      </w:r>
    </w:p>
    <w:p w:rsidR="00B41E93" w:rsidRPr="00CE292C" w:rsidRDefault="00370AE1" w:rsidP="00A97196">
      <w:pPr>
        <w:spacing w:line="480" w:lineRule="exact"/>
        <w:ind w:leftChars="0" w:left="561" w:hanging="561"/>
        <w:jc w:val="both"/>
      </w:pPr>
      <w:r w:rsidRPr="00F54B94">
        <w:rPr>
          <w:rFonts w:hint="eastAsia"/>
          <w:b/>
        </w:rPr>
        <w:t>六、編送對象：</w:t>
      </w:r>
      <w:proofErr w:type="gramStart"/>
      <w:r w:rsidR="00A97196" w:rsidRPr="00277C73">
        <w:rPr>
          <w:rFonts w:ascii="標楷體" w:hint="eastAsia"/>
        </w:rPr>
        <w:t>本表編製</w:t>
      </w:r>
      <w:proofErr w:type="gramEnd"/>
      <w:r w:rsidR="00A97196" w:rsidRPr="00277C73">
        <w:rPr>
          <w:rFonts w:ascii="標楷體" w:hint="eastAsia"/>
        </w:rPr>
        <w:t>三份，經逐級核章後，一份送</w:t>
      </w:r>
      <w:proofErr w:type="gramStart"/>
      <w:r w:rsidR="00A97196" w:rsidRPr="00277C73">
        <w:rPr>
          <w:rFonts w:ascii="標楷體" w:hint="eastAsia"/>
        </w:rPr>
        <w:t>本公</w:t>
      </w:r>
      <w:proofErr w:type="gramEnd"/>
      <w:r w:rsidR="00A97196" w:rsidRPr="00277C73">
        <w:rPr>
          <w:rFonts w:ascii="標楷體" w:hint="eastAsia"/>
        </w:rPr>
        <w:t>所</w:t>
      </w:r>
      <w:r w:rsidR="00A97196" w:rsidRPr="00D85872">
        <w:rPr>
          <w:rFonts w:ascii="標楷體" w:hint="eastAsia"/>
          <w:color w:val="FF0000"/>
        </w:rPr>
        <w:t>會(主)</w:t>
      </w:r>
      <w:r w:rsidR="00A97196" w:rsidRPr="00277C73">
        <w:rPr>
          <w:rFonts w:ascii="標楷體" w:hint="eastAsia"/>
        </w:rPr>
        <w:t>計室，</w:t>
      </w:r>
      <w:r w:rsidR="00A97196" w:rsidRPr="0020146B">
        <w:rPr>
          <w:rFonts w:ascii="標楷體" w:hint="eastAsia"/>
        </w:rPr>
        <w:t>一份自存，一份送市府農業局。</w:t>
      </w:r>
    </w:p>
    <w:sectPr w:rsidR="00B41E93" w:rsidRPr="00CE292C" w:rsidSect="00370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369" w:rsidRDefault="00483369" w:rsidP="007A3177">
      <w:pPr>
        <w:ind w:left="1120" w:hanging="560"/>
      </w:pPr>
      <w:r>
        <w:separator/>
      </w:r>
    </w:p>
  </w:endnote>
  <w:endnote w:type="continuationSeparator" w:id="0">
    <w:p w:rsidR="00483369" w:rsidRDefault="00483369" w:rsidP="007A3177">
      <w:pPr>
        <w:ind w:left="1120" w:hanging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177" w:rsidRDefault="007A3177" w:rsidP="007A3177">
    <w:pPr>
      <w:pStyle w:val="a5"/>
      <w:ind w:left="960" w:hanging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177" w:rsidRDefault="007A3177" w:rsidP="007A3177">
    <w:pPr>
      <w:pStyle w:val="a5"/>
      <w:ind w:left="960" w:hanging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177" w:rsidRDefault="007A3177" w:rsidP="007A3177">
    <w:pPr>
      <w:pStyle w:val="a5"/>
      <w:ind w:left="96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369" w:rsidRDefault="00483369" w:rsidP="007A3177">
      <w:pPr>
        <w:ind w:left="1120" w:hanging="560"/>
      </w:pPr>
      <w:r>
        <w:separator/>
      </w:r>
    </w:p>
  </w:footnote>
  <w:footnote w:type="continuationSeparator" w:id="0">
    <w:p w:rsidR="00483369" w:rsidRDefault="00483369" w:rsidP="007A3177">
      <w:pPr>
        <w:ind w:left="1120" w:hanging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177" w:rsidRDefault="007A3177" w:rsidP="007A3177">
    <w:pPr>
      <w:pStyle w:val="a3"/>
      <w:ind w:left="960" w:hanging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177" w:rsidRDefault="007A3177" w:rsidP="007A3177">
    <w:pPr>
      <w:pStyle w:val="a3"/>
      <w:ind w:left="960" w:hanging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177" w:rsidRDefault="007A3177" w:rsidP="007A3177">
    <w:pPr>
      <w:pStyle w:val="a3"/>
      <w:ind w:left="960" w:hanging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3259C"/>
    <w:multiLevelType w:val="hybridMultilevel"/>
    <w:tmpl w:val="58E02152"/>
    <w:lvl w:ilvl="0" w:tplc="CCF8D2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AE1"/>
    <w:rsid w:val="000016B8"/>
    <w:rsid w:val="000152A3"/>
    <w:rsid w:val="00020FE9"/>
    <w:rsid w:val="00033615"/>
    <w:rsid w:val="00255C07"/>
    <w:rsid w:val="002F3A8A"/>
    <w:rsid w:val="00370AE1"/>
    <w:rsid w:val="00483369"/>
    <w:rsid w:val="00516081"/>
    <w:rsid w:val="006D0065"/>
    <w:rsid w:val="00704BA5"/>
    <w:rsid w:val="007A3177"/>
    <w:rsid w:val="008612B5"/>
    <w:rsid w:val="00951C82"/>
    <w:rsid w:val="00A97196"/>
    <w:rsid w:val="00AD7A45"/>
    <w:rsid w:val="00AE3F1A"/>
    <w:rsid w:val="00B41E93"/>
    <w:rsid w:val="00B64386"/>
    <w:rsid w:val="00B94B94"/>
    <w:rsid w:val="00C564E7"/>
    <w:rsid w:val="00CE292C"/>
    <w:rsid w:val="00CF66FF"/>
    <w:rsid w:val="00DC6BAA"/>
    <w:rsid w:val="00F458CF"/>
    <w:rsid w:val="00F5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840BF"/>
  <w15:docId w15:val="{3E3E80E0-202A-406B-8E2E-2A17961E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="Times New Roman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內文一"/>
    <w:qFormat/>
    <w:rsid w:val="00370AE1"/>
    <w:pPr>
      <w:widowControl w:val="0"/>
      <w:ind w:leftChars="200" w:left="400" w:hangingChars="200" w:hanging="20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31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7A3177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A31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7A317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B64386"/>
    <w:pPr>
      <w:ind w:left="480"/>
    </w:pPr>
  </w:style>
  <w:style w:type="paragraph" w:customStyle="1" w:styleId="-cjk">
    <w:name w:val="純文字-cjk"/>
    <w:basedOn w:val="a"/>
    <w:rsid w:val="00B64386"/>
    <w:pPr>
      <w:widowControl/>
      <w:spacing w:before="100" w:beforeAutospacing="1"/>
      <w:ind w:leftChars="0" w:left="0" w:firstLineChars="0" w:firstLine="0"/>
    </w:pPr>
    <w:rPr>
      <w:rFonts w:ascii="細明體" w:eastAsia="細明體" w:hAnsi="細明體" w:cs="新細明體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94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4B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林國堡</dc:creator>
  <cp:lastModifiedBy>邱奕隆</cp:lastModifiedBy>
  <cp:revision>4</cp:revision>
  <cp:lastPrinted>2019-08-08T08:47:00Z</cp:lastPrinted>
  <dcterms:created xsi:type="dcterms:W3CDTF">2019-08-28T07:29:00Z</dcterms:created>
  <dcterms:modified xsi:type="dcterms:W3CDTF">2019-09-04T01:51:00Z</dcterms:modified>
</cp:coreProperties>
</file>