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52C" w:rsidRPr="00BF0384" w:rsidRDefault="002A039D" w:rsidP="00A9752C">
      <w:pPr>
        <w:snapToGrid w:val="0"/>
        <w:spacing w:line="360" w:lineRule="exac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42D79" wp14:editId="40017611">
                <wp:simplePos x="0" y="0"/>
                <wp:positionH relativeFrom="column">
                  <wp:posOffset>6049108</wp:posOffset>
                </wp:positionH>
                <wp:positionV relativeFrom="paragraph">
                  <wp:posOffset>-219808</wp:posOffset>
                </wp:positionV>
                <wp:extent cx="695325" cy="381000"/>
                <wp:effectExtent l="0" t="0" r="28575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53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039D" w:rsidRPr="004A4D80" w:rsidRDefault="002A039D" w:rsidP="002A039D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A4D80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42D7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76.3pt;margin-top:-17.3pt;width:54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" fillcolor="window" strokeweight=".5pt">
                <v:path arrowok="t"/>
                <v:textbox>
                  <w:txbxContent>
                    <w:p w:rsidR="002A039D" w:rsidRPr="004A4D80" w:rsidRDefault="002A039D" w:rsidP="002A039D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A4D80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9752C" w:rsidRPr="00BF038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(108-111</w:t>
      </w:r>
      <w:r w:rsidR="00A9752C" w:rsidRPr="00BF038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</w:t>
      </w:r>
      <w:r w:rsidR="00A9752C" w:rsidRPr="00BF038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)</w:t>
      </w:r>
      <w:r w:rsidR="00A9752C" w:rsidRPr="00BF038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各機關性別主流化實施計畫</w:t>
      </w:r>
    </w:p>
    <w:p w:rsidR="00A9752C" w:rsidRPr="00BF0384" w:rsidRDefault="00CF26E9" w:rsidP="00A9752C">
      <w:pPr>
        <w:snapToGrid w:val="0"/>
        <w:spacing w:afterLines="50" w:after="180" w:line="360" w:lineRule="exac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proofErr w:type="gramStart"/>
      <w:r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109</w:t>
      </w:r>
      <w:proofErr w:type="gramEnd"/>
      <w:r w:rsidR="00A9752C" w:rsidRPr="00BF038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年度</w:t>
      </w:r>
      <w:r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政風處</w:t>
      </w:r>
      <w:r w:rsidR="00A9752C" w:rsidRPr="00BF038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執行成果表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04"/>
        <w:gridCol w:w="2807"/>
        <w:gridCol w:w="3827"/>
        <w:gridCol w:w="1559"/>
      </w:tblGrid>
      <w:tr w:rsidR="00A9752C" w:rsidRPr="00BF0384" w:rsidTr="00BF285C">
        <w:trPr>
          <w:trHeight w:val="527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A9752C" w:rsidRPr="00BF0384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1304" w:type="dxa"/>
            <w:vAlign w:val="center"/>
          </w:tcPr>
          <w:p w:rsidR="00A9752C" w:rsidRPr="00BF0384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9752C" w:rsidRPr="00BF0384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執行項目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9752C" w:rsidRPr="00BF0384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CF26E9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>10</w:t>
            </w:r>
            <w:r w:rsidR="00CF26E9" w:rsidRPr="00CF26E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9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年度執行成果</w:t>
            </w:r>
          </w:p>
        </w:tc>
        <w:tc>
          <w:tcPr>
            <w:tcW w:w="1559" w:type="dxa"/>
            <w:vAlign w:val="center"/>
          </w:tcPr>
          <w:p w:rsidR="00A9752C" w:rsidRPr="00BF0384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A9752C" w:rsidRPr="00C9059B" w:rsidTr="00BF285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A9752C" w:rsidRPr="00C9059B" w:rsidRDefault="00A9752C" w:rsidP="00BF285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proofErr w:type="gramStart"/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304" w:type="dxa"/>
            <w:vAlign w:val="center"/>
          </w:tcPr>
          <w:p w:rsidR="00A9752C" w:rsidRPr="00C9059B" w:rsidRDefault="00A9752C" w:rsidP="00BF285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性別平等專責小組</w:t>
            </w:r>
          </w:p>
          <w:p w:rsidR="00A9752C" w:rsidRPr="00C9059B" w:rsidRDefault="00A9752C" w:rsidP="00BF285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含性別議題聯絡人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9752C" w:rsidRPr="00C9059B" w:rsidRDefault="00A9752C" w:rsidP="00F60348">
            <w:pPr>
              <w:numPr>
                <w:ilvl w:val="0"/>
                <w:numId w:val="1"/>
              </w:numPr>
              <w:tabs>
                <w:tab w:val="clear" w:pos="360"/>
                <w:tab w:val="num" w:pos="289"/>
              </w:tabs>
              <w:snapToGrid w:val="0"/>
              <w:spacing w:line="360" w:lineRule="exact"/>
              <w:ind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性別平等專責小組成立時間及會議召開情形。</w:t>
            </w:r>
          </w:p>
          <w:p w:rsidR="00A9752C" w:rsidRPr="00C9059B" w:rsidRDefault="00A9752C" w:rsidP="00F60348">
            <w:pPr>
              <w:numPr>
                <w:ilvl w:val="0"/>
                <w:numId w:val="1"/>
              </w:numPr>
              <w:tabs>
                <w:tab w:val="clear" w:pos="360"/>
                <w:tab w:val="num" w:pos="289"/>
              </w:tabs>
              <w:snapToGrid w:val="0"/>
              <w:spacing w:line="360" w:lineRule="exact"/>
              <w:ind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性別平等專責小組委員任一性別不得低於</w:t>
            </w:r>
            <w:r w:rsidRPr="00F6034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三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分之</w:t>
            </w:r>
            <w:r w:rsidRPr="00F6034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一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。</w:t>
            </w:r>
          </w:p>
          <w:p w:rsidR="00A9752C" w:rsidRPr="00C9059B" w:rsidRDefault="00A9752C" w:rsidP="00F60348">
            <w:pPr>
              <w:numPr>
                <w:ilvl w:val="0"/>
                <w:numId w:val="1"/>
              </w:numPr>
              <w:tabs>
                <w:tab w:val="clear" w:pos="360"/>
                <w:tab w:val="num" w:pos="289"/>
              </w:tabs>
              <w:snapToGrid w:val="0"/>
              <w:spacing w:line="360" w:lineRule="exact"/>
              <w:ind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為推動該局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處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性別業務，需穩定各局處性別議題聯絡人之持續性。</w:t>
            </w:r>
          </w:p>
          <w:p w:rsidR="00A9752C" w:rsidRPr="00C9059B" w:rsidRDefault="00A9752C" w:rsidP="00F60348">
            <w:pPr>
              <w:numPr>
                <w:ilvl w:val="0"/>
                <w:numId w:val="1"/>
              </w:numPr>
              <w:tabs>
                <w:tab w:val="clear" w:pos="360"/>
                <w:tab w:val="num" w:pos="289"/>
              </w:tabs>
              <w:snapToGrid w:val="0"/>
              <w:spacing w:line="360" w:lineRule="exact"/>
              <w:ind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局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處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各委員會委員之任一性別不得低於三分之一。</w:t>
            </w:r>
          </w:p>
        </w:tc>
        <w:tc>
          <w:tcPr>
            <w:tcW w:w="3827" w:type="dxa"/>
            <w:shd w:val="clear" w:color="auto" w:fill="auto"/>
          </w:tcPr>
          <w:p w:rsidR="00A9752C" w:rsidRPr="00C9059B" w:rsidRDefault="00A9752C" w:rsidP="00A9752C">
            <w:pPr>
              <w:pStyle w:val="a8"/>
              <w:numPr>
                <w:ilvl w:val="1"/>
                <w:numId w:val="10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本處已於</w:t>
            </w:r>
            <w:r w:rsidR="00CF26E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109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年</w:t>
            </w:r>
            <w:r w:rsidR="00CF26E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4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月</w:t>
            </w:r>
            <w:r w:rsidR="00CF26E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9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日</w:t>
            </w:r>
            <w:r w:rsidR="00432FB5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及</w:t>
            </w:r>
            <w:r w:rsidR="00432FB5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10</w:t>
            </w:r>
            <w:r w:rsidR="00432FB5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月</w:t>
            </w:r>
            <w:r w:rsidR="00432FB5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22</w:t>
            </w:r>
            <w:r w:rsidR="00432FB5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日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召開性別平等專責小組會議，本年度共召開</w:t>
            </w:r>
            <w:r w:rsidR="00432FB5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2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次。</w:t>
            </w:r>
          </w:p>
          <w:p w:rsidR="00A9752C" w:rsidRPr="00C9059B" w:rsidRDefault="00A9752C" w:rsidP="00A9752C">
            <w:pPr>
              <w:pStyle w:val="a8"/>
              <w:numPr>
                <w:ilvl w:val="1"/>
                <w:numId w:val="10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本處性別平等專責小組委員總人數</w:t>
            </w:r>
            <w:r w:rsidR="00CF26E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11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，男性委員</w:t>
            </w:r>
            <w:r w:rsidR="00CF26E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5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 w:rsidR="00CF26E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45.5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%)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；女性委員</w:t>
            </w:r>
            <w:r w:rsidR="00CF26E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6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 w:rsidR="00CF26E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54.5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%)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:rsidR="00A9752C" w:rsidRPr="00C9059B" w:rsidRDefault="00A9752C" w:rsidP="00A9752C">
            <w:pPr>
              <w:pStyle w:val="a8"/>
              <w:numPr>
                <w:ilvl w:val="1"/>
                <w:numId w:val="10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(10</w:t>
            </w:r>
            <w:r w:rsidR="00CF26E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9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年性別議題聯絡人：</w:t>
            </w:r>
            <w:r w:rsidR="00CF26E9" w:rsidRPr="00CF26E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謝蘊紫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，擔任期間：</w:t>
            </w:r>
            <w:r w:rsidR="00CF26E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1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月至</w:t>
            </w:r>
            <w:r w:rsidR="00CF26E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10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月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，穩定度</w:t>
            </w:r>
            <w:r w:rsidR="00CF26E9" w:rsidRPr="00CF26E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100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%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:rsidR="00A9752C" w:rsidRPr="00C9059B" w:rsidRDefault="00A9752C" w:rsidP="00A9752C">
            <w:pPr>
              <w:pStyle w:val="a8"/>
              <w:numPr>
                <w:ilvl w:val="1"/>
                <w:numId w:val="10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本處各委員會性別比率</w:t>
            </w:r>
          </w:p>
          <w:p w:rsidR="00CF26E9" w:rsidRPr="001D0BF3" w:rsidRDefault="00CF26E9" w:rsidP="00CF26E9">
            <w:pPr>
              <w:snapToGrid w:val="0"/>
              <w:spacing w:line="360" w:lineRule="exact"/>
              <w:ind w:left="260" w:hangingChars="100" w:hanging="2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D0B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(1)</w:t>
            </w:r>
            <w:r w:rsidRPr="004333A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委</w:t>
            </w:r>
            <w:r w:rsidRPr="004333A5">
              <w:rPr>
                <w:rFonts w:ascii="標楷體" w:eastAsia="標楷體" w:hAnsi="標楷體"/>
                <w:color w:val="000000"/>
                <w:sz w:val="26"/>
                <w:szCs w:val="26"/>
              </w:rPr>
              <w:t>員會名稱：</w:t>
            </w:r>
            <w:r w:rsidRPr="004333A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考績暨</w:t>
            </w:r>
            <w:proofErr w:type="gramStart"/>
            <w:r w:rsidRPr="004333A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甄</w:t>
            </w:r>
            <w:proofErr w:type="gramEnd"/>
            <w:r w:rsidRPr="004333A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審委員會。</w:t>
            </w:r>
            <w:r w:rsidRPr="004333A5">
              <w:rPr>
                <w:rFonts w:ascii="標楷體" w:eastAsia="標楷體" w:hAnsi="標楷體"/>
                <w:color w:val="000000"/>
                <w:sz w:val="26"/>
                <w:szCs w:val="26"/>
              </w:rPr>
              <w:t>委員</w:t>
            </w:r>
            <w:r w:rsidRPr="004333A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總</w:t>
            </w:r>
            <w:r w:rsidRPr="004333A5">
              <w:rPr>
                <w:rFonts w:ascii="標楷體" w:eastAsia="標楷體" w:hAnsi="標楷體"/>
                <w:color w:val="000000"/>
                <w:sz w:val="26"/>
                <w:szCs w:val="26"/>
              </w:rPr>
              <w:t>人數</w:t>
            </w:r>
            <w:r w:rsidRPr="004333A5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9人</w:t>
            </w:r>
            <w:r w:rsidRPr="004333A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，男性委員</w:t>
            </w:r>
            <w:r w:rsidRPr="004333A5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5人(55.5%)</w:t>
            </w:r>
            <w:r w:rsidRPr="004333A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；女</w:t>
            </w:r>
            <w:r w:rsidRPr="004333A5">
              <w:rPr>
                <w:rFonts w:ascii="標楷體" w:eastAsia="標楷體" w:hAnsi="標楷體"/>
                <w:color w:val="000000"/>
                <w:sz w:val="26"/>
                <w:szCs w:val="26"/>
              </w:rPr>
              <w:t>性委員</w:t>
            </w:r>
            <w:r w:rsidRPr="004333A5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4人(44</w:t>
            </w:r>
            <w:r w:rsidRPr="004333A5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>.</w:t>
            </w:r>
            <w:r w:rsidRPr="004333A5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4</w:t>
            </w:r>
            <w:r w:rsidRPr="004333A5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>%</w:t>
            </w:r>
            <w:r w:rsidRPr="004333A5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)</w:t>
            </w:r>
            <w:r w:rsidRPr="004333A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CF26E9" w:rsidRPr="00110009" w:rsidRDefault="00CF26E9" w:rsidP="00CF26E9">
            <w:pPr>
              <w:snapToGrid w:val="0"/>
              <w:spacing w:line="360" w:lineRule="exact"/>
              <w:ind w:left="260" w:hangingChars="100" w:hanging="260"/>
              <w:jc w:val="both"/>
              <w:rPr>
                <w:rFonts w:ascii="標楷體" w:eastAsia="標楷體" w:hAnsi="標楷體"/>
                <w:color w:val="000000"/>
              </w:rPr>
            </w:pPr>
            <w:r w:rsidRPr="001D0B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(2)</w:t>
            </w:r>
            <w:r w:rsidRPr="009951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委</w:t>
            </w:r>
            <w:r w:rsidRPr="0099515E">
              <w:rPr>
                <w:rFonts w:ascii="標楷體" w:eastAsia="標楷體" w:hAnsi="標楷體"/>
                <w:color w:val="000000"/>
                <w:sz w:val="26"/>
                <w:szCs w:val="26"/>
              </w:rPr>
              <w:t>員會名稱：</w:t>
            </w:r>
            <w:r w:rsidRPr="0099515E">
              <w:rPr>
                <w:rFonts w:ascii="標楷體" w:eastAsia="標楷體" w:hAnsi="標楷體" w:hint="eastAsia"/>
                <w:color w:val="000000"/>
              </w:rPr>
              <w:t>關懷及輔導小組。</w:t>
            </w:r>
            <w:r w:rsidRPr="009951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委員總人數</w:t>
            </w:r>
            <w:r w:rsidRPr="0099515E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29人</w:t>
            </w:r>
            <w:r w:rsidRPr="009951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，男性委員</w:t>
            </w:r>
            <w:r w:rsidRPr="0099515E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16人(55.18%)</w:t>
            </w:r>
            <w:r w:rsidRPr="009951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；女性委員</w:t>
            </w:r>
            <w:r w:rsidRPr="0099515E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13人(44.82%)</w:t>
            </w:r>
            <w:r w:rsidRPr="009951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CF26E9" w:rsidRPr="001D0BF3" w:rsidRDefault="00CF26E9" w:rsidP="00CF26E9">
            <w:pPr>
              <w:snapToGrid w:val="0"/>
              <w:spacing w:line="360" w:lineRule="exact"/>
              <w:ind w:left="260" w:hangingChars="100" w:hanging="2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D0B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</w:t>
            </w:r>
            <w:r w:rsidRPr="001D0BF3">
              <w:rPr>
                <w:rFonts w:ascii="標楷體" w:eastAsia="標楷體" w:hAnsi="標楷體"/>
                <w:color w:val="000000"/>
                <w:sz w:val="26"/>
                <w:szCs w:val="26"/>
              </w:rPr>
              <w:t>3</w:t>
            </w:r>
            <w:r w:rsidRPr="001D0B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</w:t>
            </w:r>
            <w:r w:rsidRPr="004333A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委</w:t>
            </w:r>
            <w:r w:rsidRPr="004333A5">
              <w:rPr>
                <w:rFonts w:ascii="標楷體" w:eastAsia="標楷體" w:hAnsi="標楷體"/>
                <w:color w:val="000000"/>
                <w:sz w:val="26"/>
                <w:szCs w:val="26"/>
              </w:rPr>
              <w:t>員會名稱</w:t>
            </w:r>
            <w:r w:rsidRPr="004333A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：採購稽核小組。委員總人數</w:t>
            </w:r>
            <w:r w:rsidRPr="004333A5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74人</w:t>
            </w:r>
            <w:r w:rsidRPr="004333A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，男性委員</w:t>
            </w:r>
            <w:r w:rsidRPr="004333A5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45人(60.8%)</w:t>
            </w:r>
            <w:r w:rsidRPr="004333A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；女</w:t>
            </w:r>
            <w:r w:rsidRPr="004333A5">
              <w:rPr>
                <w:rFonts w:ascii="標楷體" w:eastAsia="標楷體" w:hAnsi="標楷體"/>
                <w:color w:val="000000"/>
                <w:sz w:val="26"/>
                <w:szCs w:val="26"/>
              </w:rPr>
              <w:t>性委員</w:t>
            </w:r>
            <w:r w:rsidRPr="004333A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29</w:t>
            </w:r>
            <w:r w:rsidRPr="004333A5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人(39.2</w:t>
            </w:r>
            <w:r w:rsidRPr="004333A5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>%</w:t>
            </w:r>
            <w:r w:rsidRPr="004333A5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)</w:t>
            </w:r>
            <w:r w:rsidRPr="004333A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  <w:r w:rsidRPr="001D0BF3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</w:p>
          <w:p w:rsidR="00A9752C" w:rsidRPr="00C9059B" w:rsidRDefault="00CF26E9" w:rsidP="00CF26E9">
            <w:pPr>
              <w:snapToGrid w:val="0"/>
              <w:spacing w:line="360" w:lineRule="exact"/>
              <w:ind w:left="390" w:hangingChars="150" w:hanging="39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1D0B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</w:t>
            </w:r>
            <w:r w:rsidRPr="001D0BF3">
              <w:rPr>
                <w:rFonts w:ascii="標楷體" w:eastAsia="標楷體" w:hAnsi="標楷體"/>
                <w:color w:val="000000"/>
                <w:sz w:val="26"/>
                <w:szCs w:val="26"/>
              </w:rPr>
              <w:t>4</w:t>
            </w:r>
            <w:r w:rsidRPr="001D0B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</w:t>
            </w:r>
            <w:r w:rsidRPr="00757E3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委員會名稱：政風處性別歧視申訴處理委員會。委員總人數</w:t>
            </w:r>
            <w:r w:rsidRPr="00757E31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5人</w:t>
            </w:r>
            <w:r w:rsidRPr="00757E3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，男性委員</w:t>
            </w:r>
            <w:r w:rsidRPr="00757E31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2人(40%)</w:t>
            </w:r>
            <w:r w:rsidRPr="00757E3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；女性委員</w:t>
            </w:r>
            <w:r w:rsidRPr="00757E31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3人(60%)</w:t>
            </w:r>
            <w:r w:rsidRPr="00757E3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559" w:type="dxa"/>
            <w:vAlign w:val="center"/>
          </w:tcPr>
          <w:p w:rsidR="00A9752C" w:rsidRPr="00C9059B" w:rsidRDefault="00A9752C" w:rsidP="00BF285C">
            <w:pPr>
              <w:wordWrap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proofErr w:type="gramStart"/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穩定度算法</w:t>
            </w:r>
            <w:proofErr w:type="gramEnd"/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為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1(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年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)/1(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人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)=100%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；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1(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年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)/2(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人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)=50%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，</w:t>
            </w:r>
          </w:p>
          <w:p w:rsidR="00A9752C" w:rsidRPr="00C9059B" w:rsidRDefault="00A9752C" w:rsidP="00BF285C">
            <w:pPr>
              <w:wordWrap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以此類推。</w:t>
            </w:r>
          </w:p>
        </w:tc>
      </w:tr>
      <w:tr w:rsidR="009A52E2" w:rsidRPr="00C9059B" w:rsidTr="00BF188D">
        <w:trPr>
          <w:trHeight w:val="3792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A52E2" w:rsidRPr="00C9059B" w:rsidRDefault="009A52E2" w:rsidP="009A52E2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304" w:type="dxa"/>
            <w:vAlign w:val="center"/>
          </w:tcPr>
          <w:p w:rsidR="009A52E2" w:rsidRPr="00C9059B" w:rsidRDefault="009A52E2" w:rsidP="009A52E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性別意識</w:t>
            </w:r>
          </w:p>
          <w:p w:rsidR="009A52E2" w:rsidRPr="00C9059B" w:rsidRDefault="009A52E2" w:rsidP="009A52E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培力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9A52E2" w:rsidRDefault="009A52E2" w:rsidP="009A52E2">
            <w:pPr>
              <w:numPr>
                <w:ilvl w:val="0"/>
                <w:numId w:val="13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該機關一般公務人員參與性別意識培力人數與比例。「一般公務人員」係指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(1)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依法任用、派用之有給專任人員。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(2)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依法聘任、聘用及僱用人員。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(3)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公務人員考試錄取人員。</w:t>
            </w:r>
          </w:p>
          <w:p w:rsidR="009A52E2" w:rsidRDefault="009A52E2" w:rsidP="009A52E2">
            <w:pPr>
              <w:numPr>
                <w:ilvl w:val="0"/>
                <w:numId w:val="13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F603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該機關主管人員參與性別意識培力人</w:t>
            </w:r>
            <w:r w:rsidRPr="00F603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lastRenderedPageBreak/>
              <w:t>數與比例。「主管人員」係指機關正副首長、正副幕僚長及單位主管。</w:t>
            </w:r>
          </w:p>
          <w:p w:rsidR="009A52E2" w:rsidRPr="00F60348" w:rsidRDefault="009A52E2" w:rsidP="009A52E2">
            <w:pPr>
              <w:numPr>
                <w:ilvl w:val="0"/>
                <w:numId w:val="13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F603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性別平等業務相關人員參與性別課程受訓人數、比例及平均時數。「性別平等業務相關人員」係指實際從事提升婦女權益及促進性別平等之業務相關事宜</w:t>
            </w:r>
            <w:r w:rsidRPr="00F603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F603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包括性別主流化、消除對婦女一切形式歧視公約、各項性別平等政策措施、性別平等委員會、性別平等專責</w:t>
            </w:r>
            <w:r w:rsidRPr="00F603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/</w:t>
            </w:r>
            <w:r w:rsidRPr="00F603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案小組</w:t>
            </w:r>
            <w:r w:rsidRPr="00F603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F603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之專責、兼辦人員</w:t>
            </w:r>
            <w:r w:rsidRPr="00F603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F603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含性別平等督導、性別議題聯絡人及議題代理人</w:t>
            </w:r>
            <w:r w:rsidRPr="00F603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F603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3827" w:type="dxa"/>
            <w:shd w:val="clear" w:color="auto" w:fill="auto"/>
          </w:tcPr>
          <w:p w:rsidR="009A52E2" w:rsidRPr="002E6CA2" w:rsidRDefault="009A52E2" w:rsidP="009A52E2">
            <w:pPr>
              <w:pStyle w:val="a8"/>
              <w:numPr>
                <w:ilvl w:val="1"/>
                <w:numId w:val="9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  <w:r w:rsidRPr="002E6CA2">
              <w:rPr>
                <w:rFonts w:eastAsia="標楷體"/>
                <w:color w:val="000000" w:themeColor="text1"/>
                <w:sz w:val="26"/>
                <w:szCs w:val="26"/>
              </w:rPr>
              <w:lastRenderedPageBreak/>
              <w:t>本處一般公務人員共有</w:t>
            </w:r>
            <w:r w:rsidRPr="002E6CA2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>43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人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(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男性</w:t>
            </w:r>
            <w:r w:rsidRPr="002E6CA2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>21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人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(</w:t>
            </w:r>
            <w:r w:rsidRPr="002E6CA2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>48.84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%)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，女性</w:t>
            </w:r>
            <w:r w:rsidRPr="002E6CA2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>22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人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(</w:t>
            </w:r>
            <w:r w:rsidRPr="002E6CA2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>51.16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%))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</w:rPr>
              <w:t>。主管人員共有</w:t>
            </w:r>
            <w:r w:rsidRPr="002E6CA2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>9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人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(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男性</w:t>
            </w:r>
            <w:r w:rsidRPr="002E6CA2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>6</w:t>
            </w:r>
            <w:r w:rsidRPr="002E6CA2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2E6CA2">
              <w:rPr>
                <w:rFonts w:eastAsia="標楷體"/>
                <w:color w:val="000000" w:themeColor="text1"/>
                <w:kern w:val="0"/>
                <w:sz w:val="26"/>
                <w:szCs w:val="26"/>
                <w:u w:val="single"/>
              </w:rPr>
              <w:t>(</w:t>
            </w:r>
            <w:r w:rsidRPr="002E6CA2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</w:rPr>
              <w:t>66.67</w:t>
            </w:r>
            <w:r w:rsidRPr="002E6CA2">
              <w:rPr>
                <w:rFonts w:eastAsia="標楷體"/>
                <w:color w:val="000000" w:themeColor="text1"/>
                <w:kern w:val="0"/>
                <w:sz w:val="26"/>
                <w:szCs w:val="26"/>
                <w:u w:val="single"/>
              </w:rPr>
              <w:t>%)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，女性</w:t>
            </w:r>
            <w:r w:rsidRPr="002E6CA2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>3</w:t>
            </w:r>
            <w:r w:rsidRPr="002E6CA2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2E6CA2">
              <w:rPr>
                <w:rFonts w:eastAsia="標楷體"/>
                <w:color w:val="000000" w:themeColor="text1"/>
                <w:kern w:val="0"/>
                <w:sz w:val="26"/>
                <w:szCs w:val="26"/>
                <w:u w:val="single"/>
              </w:rPr>
              <w:t>(</w:t>
            </w:r>
            <w:r w:rsidRPr="002E6CA2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</w:rPr>
              <w:t>33.33</w:t>
            </w:r>
            <w:r w:rsidRPr="002E6CA2">
              <w:rPr>
                <w:rFonts w:eastAsia="標楷體"/>
                <w:color w:val="000000" w:themeColor="text1"/>
                <w:kern w:val="0"/>
                <w:sz w:val="26"/>
                <w:szCs w:val="26"/>
                <w:u w:val="single"/>
              </w:rPr>
              <w:t>%)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)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</w:rPr>
              <w:t>。辦理性別平等業務相關人員共有</w:t>
            </w:r>
            <w:r w:rsidRPr="002E6CA2"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人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(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男性</w:t>
            </w:r>
            <w:r w:rsidRPr="002E6CA2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>1</w:t>
            </w:r>
            <w:r w:rsidRPr="002E6CA2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2E6CA2">
              <w:rPr>
                <w:rFonts w:eastAsia="標楷體"/>
                <w:color w:val="000000" w:themeColor="text1"/>
                <w:kern w:val="0"/>
                <w:sz w:val="26"/>
                <w:szCs w:val="26"/>
                <w:u w:val="single"/>
              </w:rPr>
              <w:t>(</w:t>
            </w:r>
            <w:r w:rsidRPr="002E6CA2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</w:rPr>
              <w:t>33.33</w:t>
            </w:r>
            <w:r w:rsidRPr="002E6CA2">
              <w:rPr>
                <w:rFonts w:eastAsia="標楷體"/>
                <w:color w:val="000000" w:themeColor="text1"/>
                <w:kern w:val="0"/>
                <w:sz w:val="26"/>
                <w:szCs w:val="26"/>
                <w:u w:val="single"/>
              </w:rPr>
              <w:t>%)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，女性</w:t>
            </w:r>
            <w:r w:rsidRPr="002E6CA2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>2</w:t>
            </w:r>
            <w:r w:rsidRPr="002E6CA2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2E6CA2">
              <w:rPr>
                <w:rFonts w:eastAsia="標楷體"/>
                <w:color w:val="000000" w:themeColor="text1"/>
                <w:kern w:val="0"/>
                <w:sz w:val="26"/>
                <w:szCs w:val="26"/>
                <w:u w:val="single"/>
              </w:rPr>
              <w:t>(</w:t>
            </w:r>
            <w:r w:rsidRPr="002E6CA2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</w:rPr>
              <w:t>66.67</w:t>
            </w:r>
            <w:r w:rsidRPr="002E6CA2">
              <w:rPr>
                <w:rFonts w:eastAsia="標楷體"/>
                <w:color w:val="000000" w:themeColor="text1"/>
                <w:kern w:val="0"/>
                <w:sz w:val="26"/>
                <w:szCs w:val="26"/>
                <w:u w:val="single"/>
              </w:rPr>
              <w:t>%)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)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</w:rPr>
              <w:t>。</w:t>
            </w:r>
          </w:p>
          <w:p w:rsidR="009A52E2" w:rsidRPr="002E6CA2" w:rsidRDefault="009A52E2" w:rsidP="009A52E2">
            <w:pPr>
              <w:pStyle w:val="a8"/>
              <w:numPr>
                <w:ilvl w:val="1"/>
                <w:numId w:val="9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  <w:r w:rsidRPr="002E6CA2">
              <w:rPr>
                <w:rFonts w:eastAsia="標楷體"/>
                <w:color w:val="000000" w:themeColor="text1"/>
                <w:sz w:val="26"/>
                <w:szCs w:val="26"/>
              </w:rPr>
              <w:t>一般公務人員，參與性別意識培力課程為</w:t>
            </w:r>
            <w:r w:rsidRPr="002E6CA2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>43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人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(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男性</w:t>
            </w:r>
            <w:r w:rsidRPr="002E6CA2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>21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人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(</w:t>
            </w:r>
            <w:r w:rsidRPr="002E6CA2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>48.84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%)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，女性</w:t>
            </w:r>
            <w:r w:rsidRPr="002E6CA2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>22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人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(</w:t>
            </w:r>
            <w:r w:rsidRPr="002E6CA2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>51.16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%))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</w:rPr>
              <w:t>，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</w:rPr>
              <w:lastRenderedPageBreak/>
              <w:t>參加實體課程受訓為</w:t>
            </w:r>
            <w:r w:rsidRPr="002E6CA2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>43人(男性21人(48.84%)，女性22人(51.</w:t>
            </w:r>
            <w:r w:rsidRPr="002E6C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16</w:t>
            </w:r>
            <w:r w:rsidRPr="002E6CA2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>%)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)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，參加數位課程受訓為</w:t>
            </w:r>
            <w:r w:rsidRPr="002E6CA2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>43人(男性21人(48.84%)，女性22人(51.</w:t>
            </w:r>
            <w:r w:rsidRPr="002E6C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16</w:t>
            </w:r>
            <w:r w:rsidRPr="002E6CA2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>%)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)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</w:rPr>
              <w:t>。受訓比率為</w:t>
            </w:r>
            <w:r w:rsidRPr="002E6CA2">
              <w:rPr>
                <w:rFonts w:eastAsia="標楷體" w:hint="eastAsia"/>
                <w:color w:val="000000" w:themeColor="text1"/>
                <w:sz w:val="26"/>
                <w:szCs w:val="26"/>
              </w:rPr>
              <w:t>100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</w:rPr>
              <w:t>%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</w:rPr>
              <w:t>，較前一年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減少</w:t>
            </w:r>
            <w:r w:rsidRPr="002E6CA2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>0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%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</w:rPr>
              <w:t>。</w:t>
            </w:r>
          </w:p>
          <w:p w:rsidR="009A52E2" w:rsidRPr="002E6CA2" w:rsidRDefault="009A52E2" w:rsidP="009A52E2">
            <w:pPr>
              <w:pStyle w:val="a8"/>
              <w:numPr>
                <w:ilvl w:val="1"/>
                <w:numId w:val="9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  <w:r w:rsidRPr="002E6CA2">
              <w:rPr>
                <w:rFonts w:eastAsia="標楷體"/>
                <w:color w:val="000000" w:themeColor="text1"/>
                <w:sz w:val="26"/>
                <w:szCs w:val="26"/>
              </w:rPr>
              <w:t>主管人員，參與性別意識培力課程為</w:t>
            </w:r>
            <w:r w:rsidRPr="002E6CA2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>9人(男性6</w:t>
            </w:r>
            <w:r w:rsidRPr="002E6C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人</w:t>
            </w:r>
            <w:r w:rsidRPr="002E6CA2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>(66.67%)，女性3</w:t>
            </w:r>
            <w:r w:rsidRPr="002E6C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人</w:t>
            </w:r>
            <w:r w:rsidRPr="002E6CA2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>(33.33%)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)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</w:rPr>
              <w:t>，參加實體課程受訓為</w:t>
            </w:r>
            <w:r w:rsidRPr="002E6CA2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>9人(男性6</w:t>
            </w:r>
            <w:r w:rsidRPr="002E6C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人</w:t>
            </w:r>
            <w:r w:rsidRPr="002E6CA2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>(66.67%)，女性3</w:t>
            </w:r>
            <w:r w:rsidRPr="002E6C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人</w:t>
            </w:r>
            <w:r w:rsidRPr="002E6CA2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>(33.33%)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)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，參加數位課程受訓為</w:t>
            </w:r>
            <w:r w:rsidRPr="002E6CA2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>9人(男性6</w:t>
            </w:r>
            <w:r w:rsidRPr="002E6C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人</w:t>
            </w:r>
            <w:r w:rsidRPr="002E6CA2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>(66.67%)，女性3</w:t>
            </w:r>
            <w:r w:rsidRPr="002E6CA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人</w:t>
            </w:r>
            <w:r w:rsidRPr="002E6CA2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>(33.33%)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)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。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</w:rPr>
              <w:t>受訓比率為</w:t>
            </w:r>
            <w:r w:rsidRPr="002E6CA2">
              <w:rPr>
                <w:rFonts w:eastAsia="標楷體" w:hint="eastAsia"/>
                <w:color w:val="000000" w:themeColor="text1"/>
                <w:sz w:val="26"/>
                <w:szCs w:val="26"/>
              </w:rPr>
              <w:t>100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</w:rPr>
              <w:t>%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</w:rPr>
              <w:t>，較前一年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減少</w:t>
            </w:r>
            <w:r w:rsidRPr="002E6CA2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>0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%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</w:rPr>
              <w:t>。</w:t>
            </w:r>
          </w:p>
          <w:p w:rsidR="009A52E2" w:rsidRPr="002E6CA2" w:rsidRDefault="009A52E2" w:rsidP="009A52E2">
            <w:pPr>
              <w:pStyle w:val="a8"/>
              <w:numPr>
                <w:ilvl w:val="1"/>
                <w:numId w:val="9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  <w:r w:rsidRPr="002E6CA2">
              <w:rPr>
                <w:rFonts w:eastAsia="標楷體"/>
                <w:color w:val="000000" w:themeColor="text1"/>
                <w:sz w:val="26"/>
                <w:szCs w:val="26"/>
              </w:rPr>
              <w:t>性別平等業務相關人員，參與性別課程為</w:t>
            </w:r>
            <w:r w:rsidRPr="002E6CA2"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人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(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男性</w:t>
            </w:r>
            <w:r w:rsidRPr="002E6CA2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>1</w:t>
            </w:r>
            <w:r w:rsidRPr="002E6CA2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2E6CA2">
              <w:rPr>
                <w:rFonts w:eastAsia="標楷體"/>
                <w:color w:val="000000" w:themeColor="text1"/>
                <w:kern w:val="0"/>
                <w:sz w:val="26"/>
                <w:szCs w:val="26"/>
                <w:u w:val="single"/>
              </w:rPr>
              <w:t>(</w:t>
            </w:r>
            <w:r w:rsidRPr="002E6CA2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</w:rPr>
              <w:t>33.33</w:t>
            </w:r>
            <w:r w:rsidRPr="002E6CA2">
              <w:rPr>
                <w:rFonts w:eastAsia="標楷體"/>
                <w:color w:val="000000" w:themeColor="text1"/>
                <w:kern w:val="0"/>
                <w:sz w:val="26"/>
                <w:szCs w:val="26"/>
                <w:u w:val="single"/>
              </w:rPr>
              <w:t>%)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，女性</w:t>
            </w:r>
            <w:r w:rsidRPr="002E6CA2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>2</w:t>
            </w:r>
            <w:r w:rsidRPr="002E6CA2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</w:rPr>
              <w:t>人</w:t>
            </w:r>
            <w:r w:rsidRPr="002E6CA2">
              <w:rPr>
                <w:rFonts w:eastAsia="標楷體"/>
                <w:color w:val="000000" w:themeColor="text1"/>
                <w:kern w:val="0"/>
                <w:sz w:val="26"/>
                <w:szCs w:val="26"/>
                <w:u w:val="single"/>
              </w:rPr>
              <w:t>(</w:t>
            </w:r>
            <w:r w:rsidRPr="002E6CA2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</w:rPr>
              <w:t>66.67</w:t>
            </w:r>
            <w:r w:rsidRPr="002E6CA2">
              <w:rPr>
                <w:rFonts w:eastAsia="標楷體"/>
                <w:color w:val="000000" w:themeColor="text1"/>
                <w:kern w:val="0"/>
                <w:sz w:val="26"/>
                <w:szCs w:val="26"/>
                <w:u w:val="single"/>
              </w:rPr>
              <w:t>%)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)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</w:rPr>
              <w:t>，受訓比率為</w:t>
            </w:r>
            <w:r w:rsidRPr="002E6CA2">
              <w:rPr>
                <w:rFonts w:eastAsia="標楷體" w:hint="eastAsia"/>
                <w:color w:val="000000" w:themeColor="text1"/>
                <w:sz w:val="26"/>
                <w:szCs w:val="26"/>
              </w:rPr>
              <w:t>100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</w:rPr>
              <w:t>%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</w:rPr>
              <w:t>，較前一年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減少</w:t>
            </w:r>
            <w:r w:rsidRPr="002E6CA2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>0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%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，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</w:rPr>
              <w:t>平均受訓時數</w:t>
            </w:r>
            <w:r w:rsidRPr="002E6CA2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>14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>小時</w:t>
            </w:r>
            <w:r w:rsidRPr="002E6CA2">
              <w:rPr>
                <w:rFonts w:eastAsia="標楷體"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1559" w:type="dxa"/>
          </w:tcPr>
          <w:p w:rsidR="009A52E2" w:rsidRPr="00C9059B" w:rsidRDefault="009A52E2" w:rsidP="009A52E2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A9752C" w:rsidRPr="00C9059B" w:rsidTr="00BF285C">
        <w:trPr>
          <w:trHeight w:val="39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A9752C" w:rsidRPr="00C9059B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304" w:type="dxa"/>
            <w:vAlign w:val="center"/>
          </w:tcPr>
          <w:p w:rsidR="00A9752C" w:rsidRPr="00C9059B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性別影響評估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9752C" w:rsidRPr="00C9059B" w:rsidRDefault="00A9752C" w:rsidP="00BF285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該機關進行性別影響評估之填寫情形、邀請程序參與之學者。</w:t>
            </w:r>
          </w:p>
        </w:tc>
        <w:tc>
          <w:tcPr>
            <w:tcW w:w="3827" w:type="dxa"/>
            <w:shd w:val="clear" w:color="auto" w:fill="auto"/>
          </w:tcPr>
          <w:p w:rsidR="00A9752C" w:rsidRPr="00C9059B" w:rsidRDefault="00A9752C" w:rsidP="00A9752C">
            <w:pPr>
              <w:numPr>
                <w:ilvl w:val="0"/>
                <w:numId w:val="3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本處制定或修正本市自治條例進行性別影響評估之件數，共有</w:t>
            </w:r>
            <w:r w:rsidR="005137E6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0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  <w:u w:val="single"/>
              </w:rPr>
              <w:t>件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，分述如下：</w:t>
            </w:r>
          </w:p>
          <w:p w:rsidR="00A9752C" w:rsidRPr="00C9059B" w:rsidRDefault="00A9752C" w:rsidP="00A9752C">
            <w:pPr>
              <w:pStyle w:val="a8"/>
              <w:numPr>
                <w:ilvl w:val="0"/>
                <w:numId w:val="6"/>
              </w:numPr>
              <w:snapToGrid w:val="0"/>
              <w:spacing w:line="360" w:lineRule="exact"/>
              <w:ind w:leftChars="0" w:left="170" w:hanging="17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法案名稱：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____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:rsidR="00A9752C" w:rsidRPr="00C9059B" w:rsidRDefault="00A9752C" w:rsidP="00A9752C">
            <w:pPr>
              <w:pStyle w:val="a8"/>
              <w:numPr>
                <w:ilvl w:val="0"/>
                <w:numId w:val="6"/>
              </w:numPr>
              <w:snapToGrid w:val="0"/>
              <w:spacing w:line="360" w:lineRule="exact"/>
              <w:ind w:leftChars="0" w:left="284" w:hanging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程序參與之學者：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____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:rsidR="00A9752C" w:rsidRPr="00C9059B" w:rsidRDefault="00A9752C" w:rsidP="00A9752C">
            <w:pPr>
              <w:pStyle w:val="a8"/>
              <w:numPr>
                <w:ilvl w:val="0"/>
                <w:numId w:val="6"/>
              </w:numPr>
              <w:snapToGrid w:val="0"/>
              <w:spacing w:line="360" w:lineRule="exact"/>
              <w:ind w:leftChars="0" w:left="284" w:hanging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法案與性別關聯程度：</w:t>
            </w:r>
          </w:p>
          <w:p w:rsidR="00A9752C" w:rsidRPr="006020EF" w:rsidRDefault="00A9752C" w:rsidP="00BF285C">
            <w:pPr>
              <w:tabs>
                <w:tab w:val="left" w:pos="777"/>
              </w:tabs>
              <w:snapToGrid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020E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有關：</w:t>
            </w:r>
            <w:r w:rsidRPr="006020E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___</w:t>
            </w:r>
            <w:r w:rsidRPr="006020E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件；無關：</w:t>
            </w:r>
            <w:r w:rsidRPr="006020E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___</w:t>
            </w:r>
            <w:r w:rsidRPr="006020E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件。</w:t>
            </w:r>
          </w:p>
          <w:p w:rsidR="00A9752C" w:rsidRPr="00C9059B" w:rsidRDefault="00A9752C" w:rsidP="00A9752C">
            <w:pPr>
              <w:pStyle w:val="a8"/>
              <w:numPr>
                <w:ilvl w:val="0"/>
                <w:numId w:val="6"/>
              </w:numPr>
              <w:snapToGrid w:val="0"/>
              <w:spacing w:line="360" w:lineRule="exact"/>
              <w:ind w:leftChars="0" w:left="284" w:hanging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較前一年減少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/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新增</w:t>
            </w:r>
            <w:r w:rsidR="005137E6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0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件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:rsidR="00A9752C" w:rsidRPr="00C9059B" w:rsidRDefault="00A9752C" w:rsidP="00A9752C">
            <w:pPr>
              <w:numPr>
                <w:ilvl w:val="0"/>
                <w:numId w:val="3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本處</w:t>
            </w:r>
            <w:r w:rsidRPr="00164AAA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重大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施政計畫等進行性別影響評估共有</w:t>
            </w:r>
            <w:r w:rsidR="005137E6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0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  <w:u w:val="single"/>
              </w:rPr>
              <w:t>件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，分述如下：</w:t>
            </w:r>
          </w:p>
          <w:p w:rsidR="00A9752C" w:rsidRPr="00C9059B" w:rsidRDefault="00A9752C" w:rsidP="00A9752C">
            <w:pPr>
              <w:pStyle w:val="a8"/>
              <w:numPr>
                <w:ilvl w:val="0"/>
                <w:numId w:val="7"/>
              </w:numPr>
              <w:snapToGrid w:val="0"/>
              <w:spacing w:line="360" w:lineRule="exact"/>
              <w:ind w:leftChars="0" w:left="284" w:hanging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計畫名稱：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____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:rsidR="00A9752C" w:rsidRPr="00C9059B" w:rsidRDefault="00A9752C" w:rsidP="00A9752C">
            <w:pPr>
              <w:pStyle w:val="a8"/>
              <w:numPr>
                <w:ilvl w:val="0"/>
                <w:numId w:val="7"/>
              </w:numPr>
              <w:snapToGrid w:val="0"/>
              <w:spacing w:line="360" w:lineRule="exact"/>
              <w:ind w:leftChars="0" w:left="284" w:hanging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程序參與之學者：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____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:rsidR="00A9752C" w:rsidRPr="00C9059B" w:rsidRDefault="00A9752C" w:rsidP="00A9752C">
            <w:pPr>
              <w:pStyle w:val="a8"/>
              <w:numPr>
                <w:ilvl w:val="0"/>
                <w:numId w:val="7"/>
              </w:numPr>
              <w:snapToGrid w:val="0"/>
              <w:spacing w:line="360" w:lineRule="exact"/>
              <w:ind w:leftChars="0" w:left="284" w:hanging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計畫與性別關聯程度：</w:t>
            </w:r>
          </w:p>
          <w:p w:rsidR="00A9752C" w:rsidRPr="00C9059B" w:rsidRDefault="00A9752C" w:rsidP="00BF285C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有關：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___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件；無關：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___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件。</w:t>
            </w:r>
          </w:p>
          <w:p w:rsidR="00A9752C" w:rsidRPr="00C9059B" w:rsidRDefault="00A9752C" w:rsidP="00A9752C">
            <w:pPr>
              <w:pStyle w:val="a8"/>
              <w:numPr>
                <w:ilvl w:val="0"/>
                <w:numId w:val="7"/>
              </w:numPr>
              <w:snapToGrid w:val="0"/>
              <w:spacing w:line="360" w:lineRule="exact"/>
              <w:ind w:leftChars="0" w:left="284" w:hanging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較前一年減少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/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新增</w:t>
            </w:r>
            <w:r w:rsidR="005137E6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0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件</w:t>
            </w:r>
            <w:r w:rsidRPr="006020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:rsidR="00A9752C" w:rsidRPr="00C9059B" w:rsidRDefault="00A9752C" w:rsidP="00A9752C">
            <w:pPr>
              <w:numPr>
                <w:ilvl w:val="0"/>
                <w:numId w:val="3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本處</w:t>
            </w:r>
            <w:r w:rsidRPr="00164AAA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非重大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施政計畫等進行性別影響評估共有</w:t>
            </w:r>
            <w:r w:rsidR="005137E6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3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  <w:u w:val="single"/>
              </w:rPr>
              <w:t>件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，分述如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lastRenderedPageBreak/>
              <w:t>下：</w:t>
            </w:r>
          </w:p>
          <w:p w:rsidR="00A9752C" w:rsidRPr="00C9059B" w:rsidRDefault="00A9752C" w:rsidP="00A9752C">
            <w:pPr>
              <w:pStyle w:val="a8"/>
              <w:numPr>
                <w:ilvl w:val="0"/>
                <w:numId w:val="11"/>
              </w:numPr>
              <w:snapToGrid w:val="0"/>
              <w:spacing w:line="360" w:lineRule="exact"/>
              <w:ind w:leftChars="0" w:left="284" w:hanging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計畫名稱：</w:t>
            </w:r>
            <w:r w:rsidR="005137E6" w:rsidRPr="00FA0C9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桃園市政府所屬各機關</w:t>
            </w:r>
            <w:proofErr w:type="gramStart"/>
            <w:r w:rsidR="005137E6" w:rsidRPr="00FA0C9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108</w:t>
            </w:r>
            <w:proofErr w:type="gramEnd"/>
            <w:r w:rsidR="005137E6" w:rsidRPr="00FA0C9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年度兼辦政風業務人員教育訓練實施計畫、桃園市政府政風處</w:t>
            </w:r>
            <w:proofErr w:type="gramStart"/>
            <w:r w:rsidR="005137E6" w:rsidRPr="00FA0C9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10</w:t>
            </w:r>
            <w:proofErr w:type="gramEnd"/>
            <w:r w:rsidR="005137E6" w:rsidRPr="00FA0C9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9年度全面關懷訪視實施計畫</w:t>
            </w:r>
            <w:r w:rsidR="005137E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、</w:t>
            </w:r>
            <w:proofErr w:type="gramStart"/>
            <w:r w:rsidR="005137E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食安廉</w:t>
            </w:r>
            <w:proofErr w:type="gramEnd"/>
            <w:r w:rsidR="005137E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政業務計畫-食安稽查會同參與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:rsidR="00A9752C" w:rsidRPr="00C9059B" w:rsidRDefault="00A9752C" w:rsidP="00A9752C">
            <w:pPr>
              <w:pStyle w:val="a8"/>
              <w:numPr>
                <w:ilvl w:val="0"/>
                <w:numId w:val="11"/>
              </w:numPr>
              <w:snapToGrid w:val="0"/>
              <w:spacing w:line="360" w:lineRule="exact"/>
              <w:ind w:leftChars="0" w:left="284" w:hanging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程序參與之學者：</w:t>
            </w:r>
            <w:r w:rsidR="005137E6" w:rsidRPr="00FA0C9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詹宗儀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:rsidR="00A9752C" w:rsidRPr="00C9059B" w:rsidRDefault="00A9752C" w:rsidP="00A9752C">
            <w:pPr>
              <w:pStyle w:val="a8"/>
              <w:numPr>
                <w:ilvl w:val="0"/>
                <w:numId w:val="11"/>
              </w:numPr>
              <w:snapToGrid w:val="0"/>
              <w:spacing w:line="360" w:lineRule="exact"/>
              <w:ind w:leftChars="0" w:left="284" w:hanging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計畫與性別關聯程度：</w:t>
            </w:r>
          </w:p>
          <w:p w:rsidR="00A9752C" w:rsidRPr="00C9059B" w:rsidRDefault="00A9752C" w:rsidP="00BF285C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有關：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___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件；無關：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_</w:t>
            </w:r>
            <w:r w:rsidR="005137E6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3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_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件。</w:t>
            </w:r>
          </w:p>
          <w:p w:rsidR="00A9752C" w:rsidRPr="00C9059B" w:rsidRDefault="00A9752C" w:rsidP="00A9752C">
            <w:pPr>
              <w:pStyle w:val="a8"/>
              <w:numPr>
                <w:ilvl w:val="0"/>
                <w:numId w:val="11"/>
              </w:numPr>
              <w:snapToGrid w:val="0"/>
              <w:spacing w:line="360" w:lineRule="exact"/>
              <w:ind w:leftChars="0" w:left="284" w:hanging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較前一年新增</w:t>
            </w:r>
            <w:r w:rsidR="005137E6" w:rsidRPr="005137E6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件</w:t>
            </w:r>
            <w:r w:rsidRPr="00E0738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1559" w:type="dxa"/>
            <w:vAlign w:val="center"/>
          </w:tcPr>
          <w:p w:rsidR="00A9752C" w:rsidRPr="00C9059B" w:rsidRDefault="00A9752C" w:rsidP="00BF285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lastRenderedPageBreak/>
              <w:t>本府制定或修正本市自治條例、</w:t>
            </w:r>
            <w:proofErr w:type="gramStart"/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研</w:t>
            </w:r>
            <w:proofErr w:type="gramEnd"/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擬施政計畫等初期，即應進行性別影響評估機制。</w:t>
            </w:r>
          </w:p>
        </w:tc>
      </w:tr>
      <w:tr w:rsidR="00A9752C" w:rsidRPr="00C9059B" w:rsidTr="00BF285C">
        <w:trPr>
          <w:trHeight w:val="2491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A9752C" w:rsidRPr="00C9059B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1304" w:type="dxa"/>
            <w:vAlign w:val="center"/>
          </w:tcPr>
          <w:p w:rsidR="00A9752C" w:rsidRPr="00C9059B" w:rsidRDefault="00A9752C" w:rsidP="00BF285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性別統計</w:t>
            </w:r>
          </w:p>
          <w:p w:rsidR="00A9752C" w:rsidRPr="00C9059B" w:rsidRDefault="00A9752C" w:rsidP="00BF285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與性別分析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9752C" w:rsidRPr="00C9059B" w:rsidRDefault="00A9752C" w:rsidP="00F60348">
            <w:pPr>
              <w:numPr>
                <w:ilvl w:val="0"/>
                <w:numId w:val="14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增進性別統計資料與分析之完備性。</w:t>
            </w:r>
          </w:p>
          <w:p w:rsidR="00A9752C" w:rsidRPr="00C9059B" w:rsidRDefault="00A9752C" w:rsidP="00F60348">
            <w:pPr>
              <w:numPr>
                <w:ilvl w:val="0"/>
                <w:numId w:val="14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各機關性別平等專責小組應定期檢討性別統計指標之増加或修正。</w:t>
            </w:r>
          </w:p>
        </w:tc>
        <w:tc>
          <w:tcPr>
            <w:tcW w:w="3827" w:type="dxa"/>
            <w:shd w:val="clear" w:color="auto" w:fill="auto"/>
          </w:tcPr>
          <w:p w:rsidR="00A9752C" w:rsidRDefault="00047467" w:rsidP="00A9752C">
            <w:pPr>
              <w:pStyle w:val="a8"/>
              <w:numPr>
                <w:ilvl w:val="0"/>
                <w:numId w:val="8"/>
              </w:numPr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本處於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上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10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8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的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性別統計項目共有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5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項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，本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(10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9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)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年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的性別統計項目共有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6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項</w:t>
            </w:r>
            <w:r w:rsidRPr="003D76E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（</w:t>
            </w:r>
            <w:bookmarkStart w:id="0" w:name="_Hlk48052700"/>
            <w:r w:rsidRPr="003D76E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107</w:t>
            </w:r>
            <w:r w:rsidRPr="003D76E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年</w:t>
            </w:r>
            <w:r w:rsidRPr="003D76E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1</w:t>
            </w:r>
            <w:r w:rsidRPr="003D76E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月</w:t>
            </w:r>
            <w:r w:rsidRPr="003D76E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1</w:t>
            </w:r>
            <w:r w:rsidRPr="003D76E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日工程施工查核小組移撥工務局不再更新</w:t>
            </w:r>
            <w:bookmarkEnd w:id="0"/>
            <w:r w:rsidRPr="003D76E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）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，新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增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1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項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，項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目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分別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為：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政風處員工人數性別統計、廉政楷模人數性別統計、</w:t>
            </w:r>
            <w:proofErr w:type="gramStart"/>
            <w:r w:rsidRPr="003D76E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廉政志工人</w:t>
            </w:r>
            <w:proofErr w:type="gramEnd"/>
            <w:r w:rsidRPr="003D76EC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數性別統計、桃園市政府採購稽核小組稽核委員人數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性別統計、桃園市政府兼辦政風業務人員人</w:t>
            </w:r>
            <w:r w:rsidRPr="00902F7F">
              <w:rPr>
                <w:rFonts w:eastAsia="標楷體" w:hAnsi="標楷體" w:hint="eastAsia"/>
                <w:color w:val="000000" w:themeColor="text1"/>
                <w:sz w:val="26"/>
                <w:szCs w:val="26"/>
                <w:u w:val="single"/>
              </w:rPr>
              <w:t>數、</w:t>
            </w:r>
            <w:r w:rsidR="00AB76ED" w:rsidRPr="00902F7F">
              <w:rPr>
                <w:rFonts w:eastAsia="標楷體" w:hAnsi="標楷體" w:hint="eastAsia"/>
                <w:color w:val="000000" w:themeColor="text1"/>
                <w:sz w:val="26"/>
                <w:szCs w:val="26"/>
                <w:u w:val="single"/>
              </w:rPr>
              <w:t>桃園市政府政風處員工</w:t>
            </w:r>
            <w:r w:rsidRPr="00902F7F">
              <w:rPr>
                <w:rFonts w:eastAsia="標楷體" w:hAnsi="標楷體" w:hint="eastAsia"/>
                <w:color w:val="000000" w:themeColor="text1"/>
                <w:sz w:val="26"/>
                <w:szCs w:val="26"/>
                <w:u w:val="single"/>
              </w:rPr>
              <w:t>駕車能力性別統計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。</w:t>
            </w:r>
          </w:p>
          <w:p w:rsidR="00EA4E75" w:rsidRPr="00047467" w:rsidRDefault="00EA4E75" w:rsidP="00047467">
            <w:pPr>
              <w:pStyle w:val="a8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  <w:r w:rsidRPr="0004746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本處</w:t>
            </w:r>
            <w:r w:rsidR="003B21B8" w:rsidRPr="00047467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於</w:t>
            </w:r>
            <w:r w:rsidRPr="0004746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</w:t>
            </w:r>
            <w:r w:rsidRPr="0004746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(10</w:t>
            </w:r>
            <w:r w:rsidR="00047467" w:rsidRPr="00047467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9</w:t>
            </w:r>
            <w:r w:rsidRPr="0004746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04746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年</w:t>
            </w:r>
            <w:r w:rsidR="00B13387" w:rsidRPr="0004746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新增</w:t>
            </w:r>
            <w:r w:rsidRPr="0004746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的性別</w:t>
            </w:r>
            <w:r w:rsidR="003B21B8" w:rsidRPr="00047467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分析篇數</w:t>
            </w:r>
            <w:r w:rsidRPr="0004746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共有</w:t>
            </w:r>
            <w:r w:rsidR="00047467" w:rsidRPr="00047467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</w:t>
            </w:r>
            <w:r w:rsidR="003B21B8" w:rsidRPr="00047467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篇</w:t>
            </w:r>
            <w:r w:rsidRPr="0004746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</w:t>
            </w:r>
            <w:r w:rsidR="003B21B8" w:rsidRPr="00047467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名稱</w:t>
            </w:r>
            <w:r w:rsidRPr="00047467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為：</w:t>
            </w:r>
            <w:bookmarkStart w:id="1" w:name="_GoBack"/>
            <w:r w:rsidR="00047467" w:rsidRPr="00902F7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桃園市政府政風處</w:t>
            </w:r>
            <w:r w:rsidR="00047467" w:rsidRPr="00902F7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  <w:u w:val="single"/>
              </w:rPr>
              <w:t>108</w:t>
            </w:r>
            <w:r w:rsidR="00047467" w:rsidRPr="00902F7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  <w:u w:val="single"/>
              </w:rPr>
              <w:t>年度</w:t>
            </w:r>
            <w:r w:rsidR="00AB76ED" w:rsidRPr="00902F7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  <w:u w:val="single"/>
              </w:rPr>
              <w:t>員工</w:t>
            </w:r>
            <w:r w:rsidR="00047467" w:rsidRPr="00902F7F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  <w:u w:val="single"/>
              </w:rPr>
              <w:t>駕車能力性別統計分析</w:t>
            </w:r>
            <w:bookmarkEnd w:id="1"/>
            <w:r w:rsidRPr="00047467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。</w:t>
            </w:r>
          </w:p>
          <w:p w:rsidR="00A9752C" w:rsidRPr="00C9059B" w:rsidRDefault="00A9752C" w:rsidP="00A9752C">
            <w:pPr>
              <w:pStyle w:val="a8"/>
              <w:numPr>
                <w:ilvl w:val="0"/>
                <w:numId w:val="8"/>
              </w:numPr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本處已於</w:t>
            </w:r>
            <w:r w:rsidR="00047467" w:rsidRPr="00047467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109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年</w:t>
            </w:r>
            <w:r w:rsidR="00811C6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10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月</w:t>
            </w:r>
            <w:r w:rsidR="00811C6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22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日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性別平等專責小組會議定期檢討性別統計指標之增加或修正。</w:t>
            </w:r>
          </w:p>
        </w:tc>
        <w:tc>
          <w:tcPr>
            <w:tcW w:w="1559" w:type="dxa"/>
            <w:vAlign w:val="center"/>
          </w:tcPr>
          <w:p w:rsidR="00A9752C" w:rsidRDefault="00A9752C" w:rsidP="00BF285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性別統計與分析之定期檢討應納入性別平等專責小組會議討論。</w:t>
            </w:r>
          </w:p>
          <w:p w:rsidR="00AB76ED" w:rsidRPr="00C9059B" w:rsidRDefault="00AB76ED" w:rsidP="00BF285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A9752C" w:rsidRPr="00C9059B" w:rsidTr="000B7216">
        <w:trPr>
          <w:trHeight w:val="44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A9752C" w:rsidRPr="00C9059B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lastRenderedPageBreak/>
              <w:t>五</w:t>
            </w:r>
          </w:p>
        </w:tc>
        <w:tc>
          <w:tcPr>
            <w:tcW w:w="1304" w:type="dxa"/>
            <w:vAlign w:val="center"/>
          </w:tcPr>
          <w:p w:rsidR="00A9752C" w:rsidRPr="00C9059B" w:rsidRDefault="00A9752C" w:rsidP="00BF285C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性別預算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9752C" w:rsidRPr="00D603CE" w:rsidRDefault="00F60348" w:rsidP="00F60348">
            <w:pPr>
              <w:numPr>
                <w:ilvl w:val="0"/>
                <w:numId w:val="15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D603CE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各機關於法定預算通過後填寫性別預算表</w:t>
            </w:r>
            <w:r w:rsidR="00A9752C" w:rsidRPr="00D603C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，並請各機關性別平等專責小組協助檢視。</w:t>
            </w:r>
          </w:p>
          <w:p w:rsidR="00F60348" w:rsidRPr="00D603CE" w:rsidRDefault="00F60348" w:rsidP="00F60348">
            <w:pPr>
              <w:numPr>
                <w:ilvl w:val="0"/>
                <w:numId w:val="15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D603CE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各機關提經各機關性別平等專責小組年度第</w:t>
            </w:r>
            <w:r w:rsidRPr="00D603CE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1</w:t>
            </w:r>
            <w:r w:rsidRPr="00D603CE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次會議檢視後，送主計處彙整提報性別主流化推動組會議</w:t>
            </w:r>
            <w:r w:rsidRPr="00D603C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。</w:t>
            </w:r>
          </w:p>
          <w:p w:rsidR="00A9752C" w:rsidRPr="00F60348" w:rsidRDefault="00A9752C" w:rsidP="00F60348">
            <w:pPr>
              <w:numPr>
                <w:ilvl w:val="0"/>
                <w:numId w:val="15"/>
              </w:numP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color w:val="FF0000"/>
                <w:sz w:val="26"/>
                <w:szCs w:val="26"/>
              </w:rPr>
            </w:pPr>
            <w:r w:rsidRPr="00D603C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逐年落實</w:t>
            </w:r>
            <w:r w:rsidRPr="00F603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發展性別回應預算之目標。</w:t>
            </w:r>
          </w:p>
        </w:tc>
        <w:tc>
          <w:tcPr>
            <w:tcW w:w="3827" w:type="dxa"/>
            <w:shd w:val="clear" w:color="auto" w:fill="auto"/>
          </w:tcPr>
          <w:p w:rsidR="00A9752C" w:rsidRPr="00C9059B" w:rsidRDefault="00A9752C" w:rsidP="000B7216">
            <w:pPr>
              <w:pStyle w:val="a8"/>
              <w:numPr>
                <w:ilvl w:val="1"/>
                <w:numId w:val="7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本處年度性別預算總計</w:t>
            </w:r>
            <w:r w:rsidR="009A52E2" w:rsidRPr="00902F7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</w:t>
            </w:r>
            <w:r w:rsidR="006F077C" w:rsidRPr="00902F7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2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千元，較前一年增加</w:t>
            </w:r>
            <w:r w:rsidR="009A52E2" w:rsidRPr="00902F7F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0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千元。</w:t>
            </w:r>
          </w:p>
          <w:p w:rsidR="00A9752C" w:rsidRPr="00C9059B" w:rsidRDefault="00A9752C" w:rsidP="000B7216">
            <w:pPr>
              <w:pStyle w:val="a8"/>
              <w:numPr>
                <w:ilvl w:val="1"/>
                <w:numId w:val="7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本處會計室每年度將彙整各科室性別預算表後，於</w:t>
            </w:r>
            <w:r w:rsidR="00C0158A" w:rsidRPr="00C0158A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109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年</w:t>
            </w:r>
            <w:r w:rsidR="005B2328" w:rsidRPr="005B232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4</w:t>
            </w:r>
            <w:r w:rsidRPr="005B232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月</w:t>
            </w:r>
            <w:r w:rsidR="005B2328" w:rsidRPr="005B232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9</w:t>
            </w:r>
            <w:r w:rsidRPr="005B232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日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性別平等專責小組會議檢視後，再交由本府主計處。</w:t>
            </w:r>
          </w:p>
        </w:tc>
        <w:tc>
          <w:tcPr>
            <w:tcW w:w="1559" w:type="dxa"/>
            <w:vAlign w:val="center"/>
          </w:tcPr>
          <w:p w:rsidR="006F077C" w:rsidRPr="00902F7F" w:rsidRDefault="00A9752C" w:rsidP="00902F7F">
            <w:pPr>
              <w:pStyle w:val="a8"/>
              <w:numPr>
                <w:ilvl w:val="0"/>
                <w:numId w:val="12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</w:pPr>
            <w:r w:rsidRPr="00D603C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請依行政院性別平等處訂定之「性別預算編列原則及注意事項」填</w:t>
            </w:r>
            <w:r w:rsidRPr="009B4A0A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寫。</w:t>
            </w:r>
          </w:p>
        </w:tc>
      </w:tr>
    </w:tbl>
    <w:p w:rsidR="005356D4" w:rsidRPr="00A9752C" w:rsidRDefault="005356D4"/>
    <w:sectPr w:rsidR="005356D4" w:rsidRPr="00A9752C" w:rsidSect="00A975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060" w:rsidRDefault="00914060" w:rsidP="00A9752C">
      <w:r>
        <w:separator/>
      </w:r>
    </w:p>
  </w:endnote>
  <w:endnote w:type="continuationSeparator" w:id="0">
    <w:p w:rsidR="00914060" w:rsidRDefault="00914060" w:rsidP="00A9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060" w:rsidRDefault="00914060" w:rsidP="00A9752C">
      <w:r>
        <w:separator/>
      </w:r>
    </w:p>
  </w:footnote>
  <w:footnote w:type="continuationSeparator" w:id="0">
    <w:p w:rsidR="00914060" w:rsidRDefault="00914060" w:rsidP="00A97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F0C54"/>
    <w:multiLevelType w:val="hybridMultilevel"/>
    <w:tmpl w:val="83D6505E"/>
    <w:lvl w:ilvl="0" w:tplc="0E52A0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2B58F4"/>
    <w:multiLevelType w:val="hybridMultilevel"/>
    <w:tmpl w:val="75F84230"/>
    <w:lvl w:ilvl="0" w:tplc="C02CE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52D72E3"/>
    <w:multiLevelType w:val="hybridMultilevel"/>
    <w:tmpl w:val="B26EB15C"/>
    <w:lvl w:ilvl="0" w:tplc="93C69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A016D5"/>
    <w:multiLevelType w:val="hybridMultilevel"/>
    <w:tmpl w:val="0A2CBF52"/>
    <w:lvl w:ilvl="0" w:tplc="1650456C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52DAFBD2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263A3E01"/>
    <w:multiLevelType w:val="hybridMultilevel"/>
    <w:tmpl w:val="87E0418C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3B60BF6"/>
    <w:multiLevelType w:val="hybridMultilevel"/>
    <w:tmpl w:val="1F64A7E6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1C97B04"/>
    <w:multiLevelType w:val="hybridMultilevel"/>
    <w:tmpl w:val="878EC85A"/>
    <w:lvl w:ilvl="0" w:tplc="A7A6F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D4A5F09"/>
    <w:multiLevelType w:val="hybridMultilevel"/>
    <w:tmpl w:val="577494C4"/>
    <w:lvl w:ilvl="0" w:tplc="D67E5CFC">
      <w:start w:val="1"/>
      <w:numFmt w:val="taiwaneseCountingThousand"/>
      <w:lvlText w:val="(%1)"/>
      <w:lvlJc w:val="left"/>
      <w:pPr>
        <w:ind w:left="1125" w:hanging="720"/>
      </w:pPr>
      <w:rPr>
        <w:rFonts w:hint="default"/>
      </w:rPr>
    </w:lvl>
    <w:lvl w:ilvl="1" w:tplc="8B723A60">
      <w:start w:val="1"/>
      <w:numFmt w:val="decimal"/>
      <w:lvlText w:val="%2."/>
      <w:lvlJc w:val="left"/>
      <w:pPr>
        <w:ind w:left="1245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8" w15:restartNumberingAfterBreak="0">
    <w:nsid w:val="5961190E"/>
    <w:multiLevelType w:val="hybridMultilevel"/>
    <w:tmpl w:val="B04E248E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BC27709"/>
    <w:multiLevelType w:val="hybridMultilevel"/>
    <w:tmpl w:val="87E0418C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03A6CBB"/>
    <w:multiLevelType w:val="hybridMultilevel"/>
    <w:tmpl w:val="CEC61180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D435FEA"/>
    <w:multiLevelType w:val="hybridMultilevel"/>
    <w:tmpl w:val="E3C21594"/>
    <w:lvl w:ilvl="0" w:tplc="1DDCD738">
      <w:start w:val="1"/>
      <w:numFmt w:val="decimal"/>
      <w:lvlText w:val="(%1)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6F075F"/>
    <w:multiLevelType w:val="hybridMultilevel"/>
    <w:tmpl w:val="87E0418C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DF15AC8"/>
    <w:multiLevelType w:val="hybridMultilevel"/>
    <w:tmpl w:val="E58A7BD2"/>
    <w:lvl w:ilvl="0" w:tplc="451A6102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86C2577E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EF37BBE"/>
    <w:multiLevelType w:val="hybridMultilevel"/>
    <w:tmpl w:val="BA141AFC"/>
    <w:lvl w:ilvl="0" w:tplc="A65EFE46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8"/>
  </w:num>
  <w:num w:numId="5">
    <w:abstractNumId w:val="5"/>
  </w:num>
  <w:num w:numId="6">
    <w:abstractNumId w:val="0"/>
  </w:num>
  <w:num w:numId="7">
    <w:abstractNumId w:val="13"/>
  </w:num>
  <w:num w:numId="8">
    <w:abstractNumId w:val="14"/>
  </w:num>
  <w:num w:numId="9">
    <w:abstractNumId w:val="7"/>
  </w:num>
  <w:num w:numId="10">
    <w:abstractNumId w:val="3"/>
  </w:num>
  <w:num w:numId="11">
    <w:abstractNumId w:val="11"/>
  </w:num>
  <w:num w:numId="12">
    <w:abstractNumId w:val="2"/>
  </w:num>
  <w:num w:numId="13">
    <w:abstractNumId w:val="9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73"/>
    <w:rsid w:val="00047467"/>
    <w:rsid w:val="000B7216"/>
    <w:rsid w:val="00164AAA"/>
    <w:rsid w:val="001C1BBA"/>
    <w:rsid w:val="002A039D"/>
    <w:rsid w:val="003B21B8"/>
    <w:rsid w:val="00421861"/>
    <w:rsid w:val="00432FB5"/>
    <w:rsid w:val="00457F0F"/>
    <w:rsid w:val="00472FD5"/>
    <w:rsid w:val="005137E6"/>
    <w:rsid w:val="005356D4"/>
    <w:rsid w:val="005B2328"/>
    <w:rsid w:val="006F077C"/>
    <w:rsid w:val="00752EB6"/>
    <w:rsid w:val="00764C4B"/>
    <w:rsid w:val="00811C63"/>
    <w:rsid w:val="008A1AD2"/>
    <w:rsid w:val="00902F7F"/>
    <w:rsid w:val="00914060"/>
    <w:rsid w:val="009A52E2"/>
    <w:rsid w:val="009B4A0A"/>
    <w:rsid w:val="00A60584"/>
    <w:rsid w:val="00A9752C"/>
    <w:rsid w:val="00AB76ED"/>
    <w:rsid w:val="00B13387"/>
    <w:rsid w:val="00BF188D"/>
    <w:rsid w:val="00C0158A"/>
    <w:rsid w:val="00CC4A73"/>
    <w:rsid w:val="00CF26E9"/>
    <w:rsid w:val="00D21514"/>
    <w:rsid w:val="00D603CE"/>
    <w:rsid w:val="00DC3CBC"/>
    <w:rsid w:val="00E646D9"/>
    <w:rsid w:val="00EA4E75"/>
    <w:rsid w:val="00F6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CC1B5"/>
  <w15:chartTrackingRefBased/>
  <w15:docId w15:val="{7579956B-8339-4D23-86CF-371E8803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752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75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7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752C"/>
    <w:rPr>
      <w:sz w:val="20"/>
      <w:szCs w:val="20"/>
    </w:rPr>
  </w:style>
  <w:style w:type="character" w:customStyle="1" w:styleId="a7">
    <w:name w:val="清單段落 字元"/>
    <w:link w:val="a8"/>
    <w:uiPriority w:val="99"/>
    <w:locked/>
    <w:rsid w:val="00A9752C"/>
  </w:style>
  <w:style w:type="paragraph" w:styleId="a8">
    <w:name w:val="List Paragraph"/>
    <w:basedOn w:val="a"/>
    <w:link w:val="a7"/>
    <w:uiPriority w:val="99"/>
    <w:qFormat/>
    <w:rsid w:val="00A9752C"/>
    <w:pPr>
      <w:ind w:leftChars="200" w:left="480"/>
    </w:pPr>
    <w:rPr>
      <w:rFonts w:asciiTheme="minorHAnsi" w:eastAsiaTheme="minorEastAsia" w:hAnsiTheme="minorHAnsi"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47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72F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蔡美雯</dc:creator>
  <cp:keywords/>
  <dc:description/>
  <cp:lastModifiedBy>王儷蓁</cp:lastModifiedBy>
  <cp:revision>2</cp:revision>
  <cp:lastPrinted>2020-09-14T09:09:00Z</cp:lastPrinted>
  <dcterms:created xsi:type="dcterms:W3CDTF">2020-11-02T06:19:00Z</dcterms:created>
  <dcterms:modified xsi:type="dcterms:W3CDTF">2020-11-02T06:19:00Z</dcterms:modified>
</cp:coreProperties>
</file>