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59E" w:rsidRDefault="00DB159E" w:rsidP="00DB159E">
      <w:pPr>
        <w:rPr>
          <w:rFonts w:hint="eastAsia"/>
        </w:rPr>
      </w:pPr>
      <w:r>
        <w:rPr>
          <w:rFonts w:hint="eastAsia"/>
        </w:rPr>
        <w:t>非都市土地使用管制</w:t>
      </w:r>
    </w:p>
    <w:p w:rsidR="00DB159E" w:rsidRDefault="00DB159E" w:rsidP="00DB159E">
      <w:pPr>
        <w:rPr>
          <w:rFonts w:hint="eastAsia"/>
        </w:rPr>
      </w:pPr>
      <w:r>
        <w:rPr>
          <w:rFonts w:hint="eastAsia"/>
        </w:rPr>
        <w:t>非都市土地使用分區編定公告後，其土地之使用係按其所屬使用分區之類別為不同性質及強度之管制，並以各宗土地之使用地類別作為管制之依據，其管制之基本內涵如下：</w:t>
      </w:r>
    </w:p>
    <w:p w:rsidR="00DB159E" w:rsidRDefault="00DB159E" w:rsidP="00DB159E"/>
    <w:p w:rsidR="00DB159E" w:rsidRDefault="00DB159E" w:rsidP="00DB159E">
      <w:r>
        <w:t xml:space="preserve"> </w:t>
      </w:r>
    </w:p>
    <w:p w:rsidR="00DB159E" w:rsidRDefault="00DB159E" w:rsidP="00DB159E">
      <w:pPr>
        <w:rPr>
          <w:rFonts w:hint="eastAsia"/>
        </w:rPr>
      </w:pPr>
      <w:r w:rsidRPr="009C0C19">
        <w:rPr>
          <w:rFonts w:hint="eastAsia"/>
          <w:color w:val="FF0000"/>
        </w:rPr>
        <w:t>容許使用</w:t>
      </w:r>
      <w:r>
        <w:rPr>
          <w:rFonts w:hint="eastAsia"/>
        </w:rPr>
        <w:t>：非都市土地經劃定使用分區並編定使用地類別，應依其容許使用之項目及許可使用細目使用。各種使用地容許使用之項目、許可使用細目及其附帶條件如非都市土地使用管制規則附表</w:t>
      </w:r>
      <w:proofErr w:type="gramStart"/>
      <w:r>
        <w:rPr>
          <w:rFonts w:hint="eastAsia"/>
        </w:rPr>
        <w:t>一</w:t>
      </w:r>
      <w:proofErr w:type="gramEnd"/>
      <w:r>
        <w:rPr>
          <w:rFonts w:hint="eastAsia"/>
        </w:rPr>
        <w:t>規定。</w:t>
      </w:r>
    </w:p>
    <w:p w:rsidR="00DB159E" w:rsidRDefault="00DB159E" w:rsidP="00DB159E">
      <w:r>
        <w:t xml:space="preserve"> </w:t>
      </w:r>
    </w:p>
    <w:p w:rsidR="00DB159E" w:rsidRDefault="00DB159E" w:rsidP="00DB159E">
      <w:pPr>
        <w:rPr>
          <w:rFonts w:hint="eastAsia"/>
        </w:rPr>
      </w:pPr>
      <w:r w:rsidRPr="009C0C19">
        <w:rPr>
          <w:rFonts w:hint="eastAsia"/>
          <w:color w:val="FF0000"/>
        </w:rPr>
        <w:t>臨時使用</w:t>
      </w:r>
      <w:r>
        <w:rPr>
          <w:rFonts w:hint="eastAsia"/>
        </w:rPr>
        <w:t>：中央目的事業主管機關認定為重大建設計畫所需之臨時性設施，徵得使用地之中央主管機關及有關機關同意後，得核准為臨時使用。</w:t>
      </w:r>
    </w:p>
    <w:p w:rsidR="00DB159E" w:rsidRDefault="00DB159E" w:rsidP="00DB159E">
      <w:r>
        <w:t xml:space="preserve"> </w:t>
      </w:r>
    </w:p>
    <w:p w:rsidR="00DB159E" w:rsidRDefault="00DB159E" w:rsidP="00DB159E">
      <w:pPr>
        <w:rPr>
          <w:rFonts w:hint="eastAsia"/>
        </w:rPr>
      </w:pPr>
      <w:r w:rsidRPr="009C0C19">
        <w:rPr>
          <w:rFonts w:hint="eastAsia"/>
          <w:color w:val="FF0000"/>
        </w:rPr>
        <w:t>土地使用強度</w:t>
      </w:r>
      <w:r>
        <w:rPr>
          <w:rFonts w:hint="eastAsia"/>
        </w:rPr>
        <w:t>：非都市土地使用管制規則第</w:t>
      </w:r>
      <w:r>
        <w:rPr>
          <w:rFonts w:hint="eastAsia"/>
        </w:rPr>
        <w:t>9</w:t>
      </w:r>
      <w:r>
        <w:rPr>
          <w:rFonts w:hint="eastAsia"/>
        </w:rPr>
        <w:t>條規定，甲種建築用地、乙種建築用地、丙種建築用地、丁種建築用地、窯業用地、交通用地、遊憩用地、墳墓用地及特定目的事業用地等九種使用地之建蔽率及容積率之上限，但縣市政府得報內政部備查視實際需要酌予調降。</w:t>
      </w:r>
    </w:p>
    <w:p w:rsidR="00DB159E" w:rsidRDefault="00DB159E" w:rsidP="00DB159E">
      <w:r>
        <w:t xml:space="preserve"> </w:t>
      </w:r>
    </w:p>
    <w:p w:rsidR="00DB159E" w:rsidRDefault="00DB159E" w:rsidP="00DB159E">
      <w:pPr>
        <w:rPr>
          <w:rFonts w:hint="eastAsia"/>
        </w:rPr>
      </w:pPr>
      <w:r w:rsidRPr="009C0C19">
        <w:rPr>
          <w:rFonts w:hint="eastAsia"/>
          <w:color w:val="FF0000"/>
        </w:rPr>
        <w:t>變更編定</w:t>
      </w:r>
      <w:r>
        <w:rPr>
          <w:rFonts w:hint="eastAsia"/>
        </w:rPr>
        <w:t>：申請人依非都市土地使用管制規則申請土地使用分區或使用地類別變更，經核准變更使用分區或使用地類別。</w:t>
      </w:r>
    </w:p>
    <w:p w:rsidR="00DB159E" w:rsidRDefault="00DB159E" w:rsidP="00DB159E">
      <w:r>
        <w:t xml:space="preserve"> </w:t>
      </w:r>
    </w:p>
    <w:p w:rsidR="00DB159E" w:rsidRDefault="00DB159E" w:rsidP="00DB159E">
      <w:pPr>
        <w:rPr>
          <w:rFonts w:hint="eastAsia"/>
        </w:rPr>
      </w:pPr>
      <w:r w:rsidRPr="009C0C19">
        <w:rPr>
          <w:rFonts w:hint="eastAsia"/>
          <w:color w:val="FF0000"/>
        </w:rPr>
        <w:t>土地使用之檢查</w:t>
      </w:r>
      <w:r>
        <w:rPr>
          <w:rFonts w:hint="eastAsia"/>
        </w:rPr>
        <w:t>：非都市土地使用之檢查，由當地鄉（鎮、市、區）公所隨時檢查</w:t>
      </w:r>
      <w:proofErr w:type="gramStart"/>
      <w:r>
        <w:rPr>
          <w:rFonts w:hint="eastAsia"/>
        </w:rPr>
        <w:t>是否依編定</w:t>
      </w:r>
      <w:proofErr w:type="gramEnd"/>
      <w:r>
        <w:rPr>
          <w:rFonts w:hint="eastAsia"/>
        </w:rPr>
        <w:t>使用。依目的事業主管機關核定計畫編定、變更編定或同意使用者，目的事業主管機關應檢查是否依原核定計畫使用。</w:t>
      </w:r>
    </w:p>
    <w:p w:rsidR="00DB159E" w:rsidRDefault="00DB159E" w:rsidP="00DB159E">
      <w:pPr>
        <w:rPr>
          <w:rFonts w:hint="eastAsia"/>
        </w:rPr>
      </w:pPr>
      <w:r>
        <w:rPr>
          <w:rFonts w:hint="eastAsia"/>
        </w:rPr>
        <w:t>其有違反編定使用或未按計畫使用者，鄉（鎮、市</w:t>
      </w:r>
      <w:bookmarkStart w:id="0" w:name="_GoBack"/>
      <w:bookmarkEnd w:id="0"/>
      <w:r>
        <w:rPr>
          <w:rFonts w:hint="eastAsia"/>
        </w:rPr>
        <w:t>、區）公所應即報請直轄市或縣（市）政府處理，或由目的事業主管機關會同有關機關處理。</w:t>
      </w:r>
    </w:p>
    <w:p w:rsidR="00DB159E" w:rsidRDefault="00DB159E" w:rsidP="00DB159E">
      <w:pPr>
        <w:rPr>
          <w:rFonts w:hint="eastAsia"/>
        </w:rPr>
      </w:pPr>
      <w:r>
        <w:rPr>
          <w:rFonts w:hint="eastAsia"/>
        </w:rPr>
        <w:t>縣（市）政府對違反使用之處理，除應成立聯合取締小組定期查處外，其內部分工依非都市土地使用管制規則第</w:t>
      </w:r>
      <w:r>
        <w:rPr>
          <w:rFonts w:hint="eastAsia"/>
        </w:rPr>
        <w:t>55</w:t>
      </w:r>
      <w:r>
        <w:rPr>
          <w:rFonts w:hint="eastAsia"/>
        </w:rPr>
        <w:t>條規定，違反本規則規定同時違反其他特別法令規定者，由各該法令主管機關會同地政機關處理。</w:t>
      </w:r>
    </w:p>
    <w:p w:rsidR="00DB159E" w:rsidRDefault="00DB159E" w:rsidP="00DB159E">
      <w:r>
        <w:t xml:space="preserve"> </w:t>
      </w:r>
    </w:p>
    <w:p w:rsidR="007024BE" w:rsidRDefault="00DB159E" w:rsidP="00DB159E">
      <w:r w:rsidRPr="009C0C19">
        <w:rPr>
          <w:rFonts w:hint="eastAsia"/>
          <w:color w:val="FF0000"/>
        </w:rPr>
        <w:t>違反土地使用管制</w:t>
      </w:r>
      <w:r>
        <w:rPr>
          <w:rFonts w:hint="eastAsia"/>
        </w:rPr>
        <w:t>：違反區域計畫法第</w:t>
      </w:r>
      <w:r>
        <w:rPr>
          <w:rFonts w:hint="eastAsia"/>
        </w:rPr>
        <w:t>15</w:t>
      </w:r>
      <w:r>
        <w:rPr>
          <w:rFonts w:hint="eastAsia"/>
        </w:rPr>
        <w:t>條第</w:t>
      </w:r>
      <w:r>
        <w:rPr>
          <w:rFonts w:hint="eastAsia"/>
        </w:rPr>
        <w:t>1</w:t>
      </w:r>
      <w:r>
        <w:rPr>
          <w:rFonts w:hint="eastAsia"/>
        </w:rPr>
        <w:t>項之管制使用土地者，由該管直轄市、縣（市）政府處新臺幣</w:t>
      </w:r>
      <w:r>
        <w:rPr>
          <w:rFonts w:hint="eastAsia"/>
        </w:rPr>
        <w:t>6</w:t>
      </w:r>
      <w:r>
        <w:rPr>
          <w:rFonts w:hint="eastAsia"/>
        </w:rPr>
        <w:t>萬元以上</w:t>
      </w:r>
      <w:r>
        <w:rPr>
          <w:rFonts w:hint="eastAsia"/>
        </w:rPr>
        <w:t>30</w:t>
      </w:r>
      <w:r>
        <w:rPr>
          <w:rFonts w:hint="eastAsia"/>
        </w:rPr>
        <w:t>萬元以下罰鍰，並得限期令其變更使用、停止使用或拆除地上物恢復原狀。經限期變更使用等而不遵從者，得</w:t>
      </w:r>
      <w:proofErr w:type="gramStart"/>
      <w:r>
        <w:rPr>
          <w:rFonts w:hint="eastAsia"/>
        </w:rPr>
        <w:t>採</w:t>
      </w:r>
      <w:proofErr w:type="gramEnd"/>
      <w:r>
        <w:rPr>
          <w:rFonts w:hint="eastAsia"/>
        </w:rPr>
        <w:t>「按次處罰」，並停止供水、供電、封閉、強制拆除或採取其他恢復原狀之措施。</w:t>
      </w:r>
    </w:p>
    <w:sectPr w:rsidR="007024B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9E"/>
    <w:rsid w:val="007024BE"/>
    <w:rsid w:val="009C0C19"/>
    <w:rsid w:val="00DB15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C2E6B-8B2C-4148-BE14-B7B5199D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趙龍華</dc:creator>
  <cp:keywords/>
  <dc:description/>
  <cp:lastModifiedBy>趙龍華</cp:lastModifiedBy>
  <cp:revision>2</cp:revision>
  <dcterms:created xsi:type="dcterms:W3CDTF">2020-03-04T09:16:00Z</dcterms:created>
  <dcterms:modified xsi:type="dcterms:W3CDTF">2020-03-04T09:17:00Z</dcterms:modified>
</cp:coreProperties>
</file>