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A604A" w14:textId="77777777" w:rsidR="00124A7B" w:rsidRPr="00227D2B" w:rsidRDefault="00E637E3">
      <w:pPr>
        <w:spacing w:line="400" w:lineRule="exact"/>
        <w:ind w:right="-125"/>
        <w:jc w:val="center"/>
        <w:rPr>
          <w:rFonts w:eastAsia="標楷體"/>
          <w:b/>
          <w:sz w:val="28"/>
          <w:szCs w:val="28"/>
        </w:rPr>
      </w:pPr>
      <w:r w:rsidRPr="00227D2B">
        <w:rPr>
          <w:rFonts w:eastAsia="標楷體"/>
          <w:b/>
          <w:sz w:val="28"/>
          <w:szCs w:val="28"/>
        </w:rPr>
        <w:t>桃園市政府都市發展局</w:t>
      </w:r>
    </w:p>
    <w:p w14:paraId="751CC5EE" w14:textId="1EAFD32D" w:rsidR="00124A7B" w:rsidRPr="00227D2B" w:rsidRDefault="00720F75">
      <w:pPr>
        <w:spacing w:line="400" w:lineRule="exact"/>
        <w:ind w:right="-125"/>
        <w:jc w:val="center"/>
      </w:pPr>
      <w:r w:rsidRPr="00227D2B">
        <w:rPr>
          <w:rFonts w:eastAsia="標楷體"/>
          <w:b/>
          <w:sz w:val="28"/>
          <w:szCs w:val="28"/>
        </w:rPr>
        <w:t>「桃園市桃園區虎頭山創新園區</w:t>
      </w:r>
      <w:r w:rsidR="008943B4">
        <w:rPr>
          <w:rFonts w:eastAsia="標楷體" w:hint="eastAsia"/>
          <w:b/>
          <w:sz w:val="28"/>
          <w:szCs w:val="28"/>
        </w:rPr>
        <w:t>B06</w:t>
      </w:r>
      <w:r w:rsidR="008943B4">
        <w:rPr>
          <w:rFonts w:eastAsia="標楷體" w:hint="eastAsia"/>
          <w:b/>
          <w:sz w:val="28"/>
          <w:szCs w:val="28"/>
        </w:rPr>
        <w:t>商業空間</w:t>
      </w:r>
      <w:r w:rsidRPr="00227D2B">
        <w:rPr>
          <w:rFonts w:eastAsia="標楷體" w:hint="eastAsia"/>
          <w:b/>
          <w:sz w:val="28"/>
          <w:szCs w:val="28"/>
        </w:rPr>
        <w:t>公開標租</w:t>
      </w:r>
      <w:r w:rsidR="00E637E3" w:rsidRPr="00227D2B">
        <w:rPr>
          <w:rFonts w:eastAsia="標楷體"/>
          <w:b/>
          <w:sz w:val="28"/>
          <w:szCs w:val="28"/>
        </w:rPr>
        <w:t>案」</w:t>
      </w:r>
    </w:p>
    <w:p w14:paraId="6BE22D80" w14:textId="77777777" w:rsidR="00124A7B" w:rsidRPr="00227D2B" w:rsidRDefault="00E637E3">
      <w:pPr>
        <w:spacing w:line="400" w:lineRule="exact"/>
        <w:ind w:right="-125"/>
        <w:jc w:val="center"/>
        <w:rPr>
          <w:rFonts w:eastAsia="標楷體"/>
          <w:b/>
          <w:sz w:val="28"/>
          <w:szCs w:val="28"/>
        </w:rPr>
      </w:pPr>
      <w:r w:rsidRPr="00227D2B">
        <w:rPr>
          <w:rFonts w:eastAsia="標楷體"/>
          <w:b/>
          <w:sz w:val="28"/>
          <w:szCs w:val="28"/>
        </w:rPr>
        <w:t>評選辦法</w:t>
      </w:r>
    </w:p>
    <w:p w14:paraId="5EF87305" w14:textId="38B34863" w:rsidR="00124A7B" w:rsidRPr="00227D2B" w:rsidRDefault="00E637E3">
      <w:pPr>
        <w:numPr>
          <w:ilvl w:val="0"/>
          <w:numId w:val="2"/>
        </w:numPr>
        <w:spacing w:line="400" w:lineRule="exact"/>
        <w:jc w:val="both"/>
      </w:pPr>
      <w:r w:rsidRPr="00227D2B">
        <w:rPr>
          <w:rFonts w:eastAsia="標楷體"/>
          <w:szCs w:val="24"/>
        </w:rPr>
        <w:t>本案由</w:t>
      </w:r>
      <w:r w:rsidRPr="00227D2B">
        <w:rPr>
          <w:rFonts w:eastAsia="標楷體"/>
          <w:szCs w:val="24"/>
          <w:u w:val="single"/>
        </w:rPr>
        <w:t>桃園市政府</w:t>
      </w:r>
      <w:r w:rsidR="008943B4">
        <w:rPr>
          <w:rFonts w:eastAsia="標楷體" w:hint="eastAsia"/>
          <w:szCs w:val="24"/>
          <w:u w:val="single"/>
        </w:rPr>
        <w:t>經濟發展</w:t>
      </w:r>
      <w:r w:rsidRPr="00227D2B">
        <w:rPr>
          <w:rFonts w:eastAsia="標楷體"/>
          <w:szCs w:val="24"/>
          <w:u w:val="single"/>
        </w:rPr>
        <w:t>局（以下簡稱本局）</w:t>
      </w:r>
      <w:r w:rsidRPr="00227D2B">
        <w:rPr>
          <w:rFonts w:eastAsia="標楷體"/>
          <w:szCs w:val="24"/>
        </w:rPr>
        <w:t>參照政府採購法相關規定組成評選委員會辦理評選作業。</w:t>
      </w:r>
    </w:p>
    <w:p w14:paraId="7C6179D4" w14:textId="77777777" w:rsidR="00124A7B" w:rsidRPr="00227D2B" w:rsidRDefault="00E637E3">
      <w:pPr>
        <w:numPr>
          <w:ilvl w:val="0"/>
          <w:numId w:val="2"/>
        </w:numPr>
        <w:tabs>
          <w:tab w:val="left" w:pos="480"/>
        </w:tabs>
        <w:spacing w:before="180" w:line="400" w:lineRule="exact"/>
        <w:ind w:left="482" w:hanging="482"/>
        <w:jc w:val="both"/>
      </w:pPr>
      <w:r w:rsidRPr="00227D2B">
        <w:rPr>
          <w:rFonts w:eastAsia="標楷體"/>
          <w:szCs w:val="24"/>
        </w:rPr>
        <w:t>廠商資格審查：</w:t>
      </w:r>
    </w:p>
    <w:p w14:paraId="428BB340" w14:textId="77777777" w:rsidR="00124A7B" w:rsidRPr="00227D2B" w:rsidRDefault="00E637E3">
      <w:pPr>
        <w:spacing w:line="400" w:lineRule="exact"/>
        <w:ind w:left="480"/>
        <w:jc w:val="both"/>
        <w:rPr>
          <w:rFonts w:eastAsia="標楷體"/>
          <w:szCs w:val="24"/>
        </w:rPr>
      </w:pPr>
      <w:r w:rsidRPr="00227D2B">
        <w:rPr>
          <w:rFonts w:eastAsia="標楷體"/>
          <w:szCs w:val="24"/>
        </w:rPr>
        <w:t>本局於收受投標文件後，由業務單位就所規定需檢附資格及相關證明文件進行資格審查，經審查合格者始得參加評選。投標廠商有下列情形者，不得參與評選：</w:t>
      </w:r>
    </w:p>
    <w:p w14:paraId="04687432" w14:textId="77777777" w:rsidR="00124A7B" w:rsidRPr="00227D2B" w:rsidRDefault="00E637E3">
      <w:pPr>
        <w:numPr>
          <w:ilvl w:val="0"/>
          <w:numId w:val="3"/>
        </w:numPr>
        <w:tabs>
          <w:tab w:val="left" w:pos="720"/>
        </w:tabs>
        <w:spacing w:line="400" w:lineRule="exact"/>
        <w:ind w:left="720"/>
        <w:jc w:val="both"/>
        <w:rPr>
          <w:rFonts w:eastAsia="標楷體"/>
          <w:szCs w:val="24"/>
        </w:rPr>
      </w:pPr>
      <w:r w:rsidRPr="00227D2B">
        <w:rPr>
          <w:rFonts w:eastAsia="標楷體"/>
          <w:szCs w:val="24"/>
        </w:rPr>
        <w:t>資格證明文件經查不合格者。</w:t>
      </w:r>
    </w:p>
    <w:p w14:paraId="363E62C1" w14:textId="77777777" w:rsidR="00124A7B" w:rsidRPr="00227D2B" w:rsidRDefault="00E637E3">
      <w:pPr>
        <w:numPr>
          <w:ilvl w:val="0"/>
          <w:numId w:val="3"/>
        </w:numPr>
        <w:tabs>
          <w:tab w:val="left" w:pos="720"/>
        </w:tabs>
        <w:spacing w:line="400" w:lineRule="exact"/>
        <w:ind w:left="720"/>
        <w:jc w:val="both"/>
        <w:rPr>
          <w:rFonts w:eastAsia="標楷體"/>
          <w:szCs w:val="24"/>
        </w:rPr>
      </w:pPr>
      <w:r w:rsidRPr="00227D2B">
        <w:rPr>
          <w:rFonts w:eastAsia="標楷體"/>
          <w:szCs w:val="24"/>
        </w:rPr>
        <w:t>投標封未標示廠商名稱及地址者。</w:t>
      </w:r>
    </w:p>
    <w:p w14:paraId="125F4F9F" w14:textId="77777777" w:rsidR="00124A7B" w:rsidRPr="00227D2B" w:rsidRDefault="00E637E3">
      <w:pPr>
        <w:numPr>
          <w:ilvl w:val="0"/>
          <w:numId w:val="3"/>
        </w:numPr>
        <w:tabs>
          <w:tab w:val="left" w:pos="720"/>
        </w:tabs>
        <w:spacing w:line="400" w:lineRule="exact"/>
        <w:ind w:left="720"/>
        <w:jc w:val="both"/>
        <w:rPr>
          <w:rFonts w:eastAsia="標楷體"/>
          <w:szCs w:val="24"/>
        </w:rPr>
      </w:pPr>
      <w:r w:rsidRPr="00227D2B">
        <w:rPr>
          <w:rFonts w:eastAsia="標楷體"/>
          <w:szCs w:val="24"/>
        </w:rPr>
        <w:t>投標廠商或負責人名稱與有關機關設立許可證文件不符者。</w:t>
      </w:r>
    </w:p>
    <w:p w14:paraId="6D7E4181" w14:textId="77777777" w:rsidR="00124A7B" w:rsidRPr="00227D2B" w:rsidRDefault="00E637E3">
      <w:pPr>
        <w:numPr>
          <w:ilvl w:val="0"/>
          <w:numId w:val="3"/>
        </w:numPr>
        <w:tabs>
          <w:tab w:val="left" w:pos="720"/>
        </w:tabs>
        <w:spacing w:line="400" w:lineRule="exact"/>
        <w:ind w:left="720"/>
        <w:jc w:val="both"/>
        <w:rPr>
          <w:rFonts w:eastAsia="標楷體"/>
          <w:szCs w:val="24"/>
        </w:rPr>
      </w:pPr>
      <w:r w:rsidRPr="00227D2B">
        <w:rPr>
          <w:rFonts w:eastAsia="標楷體"/>
          <w:szCs w:val="24"/>
        </w:rPr>
        <w:t>借用或冒用他人名義或證件，或偽造變造之文件投標者。</w:t>
      </w:r>
    </w:p>
    <w:p w14:paraId="1FA3DB4A" w14:textId="77777777" w:rsidR="00124A7B" w:rsidRPr="00227D2B" w:rsidRDefault="00E637E3">
      <w:pPr>
        <w:numPr>
          <w:ilvl w:val="0"/>
          <w:numId w:val="3"/>
        </w:numPr>
        <w:tabs>
          <w:tab w:val="left" w:pos="720"/>
        </w:tabs>
        <w:spacing w:line="400" w:lineRule="exact"/>
        <w:ind w:left="720"/>
        <w:jc w:val="both"/>
        <w:rPr>
          <w:rFonts w:eastAsia="標楷體"/>
          <w:szCs w:val="24"/>
        </w:rPr>
      </w:pPr>
      <w:r w:rsidRPr="00227D2B">
        <w:rPr>
          <w:rFonts w:eastAsia="標楷體"/>
          <w:szCs w:val="24"/>
        </w:rPr>
        <w:t>偽造或變造投標文件。</w:t>
      </w:r>
    </w:p>
    <w:p w14:paraId="6C206F3C" w14:textId="77777777" w:rsidR="00124A7B" w:rsidRPr="00227D2B" w:rsidRDefault="00E637E3">
      <w:pPr>
        <w:numPr>
          <w:ilvl w:val="0"/>
          <w:numId w:val="3"/>
        </w:numPr>
        <w:tabs>
          <w:tab w:val="left" w:pos="720"/>
        </w:tabs>
        <w:spacing w:line="400" w:lineRule="exact"/>
        <w:ind w:left="720"/>
        <w:jc w:val="both"/>
        <w:rPr>
          <w:rFonts w:eastAsia="標楷體"/>
          <w:szCs w:val="24"/>
        </w:rPr>
      </w:pPr>
      <w:r w:rsidRPr="00227D2B">
        <w:rPr>
          <w:rFonts w:eastAsia="標楷體"/>
          <w:szCs w:val="24"/>
        </w:rPr>
        <w:t>同一廠商、或屬同一公司之</w:t>
      </w:r>
      <w:r w:rsidRPr="00227D2B">
        <w:rPr>
          <w:rFonts w:eastAsia="標楷體"/>
          <w:szCs w:val="24"/>
        </w:rPr>
        <w:t>2</w:t>
      </w:r>
      <w:r w:rsidRPr="00227D2B">
        <w:rPr>
          <w:rFonts w:eastAsia="標楷體"/>
          <w:szCs w:val="24"/>
        </w:rPr>
        <w:t>個以上分公司或一公司與其分公司投寄</w:t>
      </w:r>
      <w:r w:rsidRPr="00227D2B">
        <w:rPr>
          <w:rFonts w:eastAsia="標楷體"/>
          <w:szCs w:val="24"/>
        </w:rPr>
        <w:t>2</w:t>
      </w:r>
      <w:r w:rsidRPr="00227D2B">
        <w:rPr>
          <w:rFonts w:eastAsia="標楷體"/>
          <w:szCs w:val="24"/>
        </w:rPr>
        <w:t>份以上投標文件者。</w:t>
      </w:r>
    </w:p>
    <w:p w14:paraId="33584A55" w14:textId="77777777" w:rsidR="00124A7B" w:rsidRPr="00227D2B" w:rsidRDefault="00E637E3">
      <w:pPr>
        <w:numPr>
          <w:ilvl w:val="0"/>
          <w:numId w:val="3"/>
        </w:numPr>
        <w:tabs>
          <w:tab w:val="left" w:pos="720"/>
        </w:tabs>
        <w:spacing w:line="400" w:lineRule="exact"/>
        <w:ind w:left="720"/>
        <w:jc w:val="both"/>
        <w:rPr>
          <w:rFonts w:eastAsia="標楷體"/>
          <w:szCs w:val="24"/>
        </w:rPr>
      </w:pPr>
      <w:r w:rsidRPr="00227D2B">
        <w:rPr>
          <w:rFonts w:eastAsia="標楷體"/>
          <w:szCs w:val="24"/>
        </w:rPr>
        <w:t>不同標件投標廠商負責人相同者。</w:t>
      </w:r>
    </w:p>
    <w:p w14:paraId="5D286A55" w14:textId="77777777" w:rsidR="00124A7B" w:rsidRPr="00227D2B" w:rsidRDefault="00E637E3">
      <w:pPr>
        <w:numPr>
          <w:ilvl w:val="0"/>
          <w:numId w:val="3"/>
        </w:numPr>
        <w:tabs>
          <w:tab w:val="left" w:pos="720"/>
        </w:tabs>
        <w:spacing w:line="400" w:lineRule="exact"/>
        <w:ind w:left="720"/>
        <w:jc w:val="both"/>
        <w:rPr>
          <w:rFonts w:eastAsia="標楷體"/>
          <w:szCs w:val="24"/>
        </w:rPr>
      </w:pPr>
      <w:r w:rsidRPr="00227D2B">
        <w:rPr>
          <w:rFonts w:eastAsia="標楷體"/>
          <w:szCs w:val="24"/>
        </w:rPr>
        <w:t>有政府採購法第</w:t>
      </w:r>
      <w:r w:rsidRPr="00227D2B">
        <w:rPr>
          <w:rFonts w:eastAsia="標楷體"/>
          <w:szCs w:val="24"/>
        </w:rPr>
        <w:t>50</w:t>
      </w:r>
      <w:r w:rsidRPr="00227D2B">
        <w:rPr>
          <w:rFonts w:eastAsia="標楷體"/>
          <w:szCs w:val="24"/>
        </w:rPr>
        <w:t>條所述情事者。</w:t>
      </w:r>
    </w:p>
    <w:p w14:paraId="72841558" w14:textId="77777777" w:rsidR="00124A7B" w:rsidRPr="00227D2B" w:rsidRDefault="00E637E3">
      <w:pPr>
        <w:numPr>
          <w:ilvl w:val="0"/>
          <w:numId w:val="2"/>
        </w:numPr>
        <w:tabs>
          <w:tab w:val="left" w:pos="480"/>
        </w:tabs>
        <w:spacing w:before="180" w:line="400" w:lineRule="exact"/>
        <w:ind w:left="482" w:hanging="482"/>
        <w:jc w:val="both"/>
      </w:pPr>
      <w:r w:rsidRPr="00227D2B">
        <w:rPr>
          <w:rFonts w:eastAsia="標楷體"/>
          <w:szCs w:val="24"/>
        </w:rPr>
        <w:t>評選流程：</w:t>
      </w:r>
    </w:p>
    <w:p w14:paraId="5033C256" w14:textId="77777777" w:rsidR="00124A7B" w:rsidRPr="00227D2B" w:rsidRDefault="00E637E3">
      <w:pPr>
        <w:numPr>
          <w:ilvl w:val="0"/>
          <w:numId w:val="4"/>
        </w:numPr>
        <w:tabs>
          <w:tab w:val="left" w:pos="720"/>
        </w:tabs>
        <w:spacing w:line="400" w:lineRule="exact"/>
        <w:ind w:left="720"/>
        <w:jc w:val="both"/>
      </w:pPr>
      <w:r w:rsidRPr="00227D2B">
        <w:rPr>
          <w:rFonts w:eastAsia="標楷體"/>
          <w:szCs w:val="24"/>
        </w:rPr>
        <w:t>由參加評選廠商就所提之</w:t>
      </w:r>
      <w:r w:rsidRPr="00227D2B">
        <w:rPr>
          <w:rFonts w:eastAsia="標楷體"/>
          <w:b/>
          <w:szCs w:val="24"/>
        </w:rPr>
        <w:t>企劃書</w:t>
      </w:r>
      <w:r w:rsidRPr="00227D2B">
        <w:rPr>
          <w:rFonts w:eastAsia="標楷體"/>
          <w:szCs w:val="24"/>
        </w:rPr>
        <w:t>進行簡報說明（簡報形式由廠商自行決定），簡報次序依投標文件送達本局時間先後順序決定。</w:t>
      </w:r>
    </w:p>
    <w:p w14:paraId="6CB33056" w14:textId="77777777" w:rsidR="00124A7B" w:rsidRPr="00227D2B" w:rsidRDefault="00E637E3">
      <w:pPr>
        <w:numPr>
          <w:ilvl w:val="0"/>
          <w:numId w:val="4"/>
        </w:numPr>
        <w:tabs>
          <w:tab w:val="left" w:pos="720"/>
        </w:tabs>
        <w:spacing w:line="400" w:lineRule="exact"/>
        <w:ind w:left="720"/>
        <w:jc w:val="both"/>
      </w:pPr>
      <w:r w:rsidRPr="00227D2B">
        <w:rPr>
          <w:rFonts w:eastAsia="標楷體"/>
          <w:szCs w:val="24"/>
        </w:rPr>
        <w:t>現場得發送同簡報內容之列印資料，惟不得就企劃書或投標文件進行補充，補充者其補充部分不列入評分。</w:t>
      </w:r>
    </w:p>
    <w:p w14:paraId="31523DF1" w14:textId="77777777" w:rsidR="00124A7B" w:rsidRPr="00227D2B" w:rsidRDefault="00E637E3">
      <w:pPr>
        <w:numPr>
          <w:ilvl w:val="0"/>
          <w:numId w:val="4"/>
        </w:numPr>
        <w:tabs>
          <w:tab w:val="left" w:pos="720"/>
        </w:tabs>
        <w:spacing w:line="400" w:lineRule="exact"/>
        <w:ind w:left="720"/>
        <w:jc w:val="both"/>
      </w:pPr>
      <w:r w:rsidRPr="00227D2B">
        <w:rPr>
          <w:rFonts w:eastAsia="標楷體"/>
          <w:szCs w:val="24"/>
        </w:rPr>
        <w:t>由廠商提出</w:t>
      </w:r>
      <w:r w:rsidRPr="00227D2B">
        <w:rPr>
          <w:rFonts w:eastAsia="標楷體"/>
          <w:szCs w:val="24"/>
          <w:u w:val="single"/>
        </w:rPr>
        <w:t>10</w:t>
      </w:r>
      <w:r w:rsidRPr="00227D2B">
        <w:rPr>
          <w:rFonts w:eastAsia="標楷體"/>
          <w:szCs w:val="24"/>
          <w:u w:val="single"/>
        </w:rPr>
        <w:t>分鐘</w:t>
      </w:r>
      <w:r w:rsidRPr="00227D2B">
        <w:rPr>
          <w:rFonts w:eastAsia="標楷體"/>
          <w:szCs w:val="24"/>
        </w:rPr>
        <w:t>簡報，簡報結束後接受委員詢問，採統問統答方式，委員全數發言後進行</w:t>
      </w:r>
      <w:r w:rsidRPr="00227D2B">
        <w:rPr>
          <w:rFonts w:eastAsia="標楷體"/>
          <w:szCs w:val="24"/>
          <w:u w:val="single"/>
        </w:rPr>
        <w:t>10</w:t>
      </w:r>
      <w:r w:rsidRPr="00227D2B">
        <w:rPr>
          <w:rFonts w:eastAsia="標楷體"/>
          <w:szCs w:val="24"/>
          <w:u w:val="single"/>
        </w:rPr>
        <w:t>分鐘</w:t>
      </w:r>
      <w:r w:rsidRPr="00227D2B">
        <w:rPr>
          <w:rFonts w:eastAsia="標楷體"/>
          <w:szCs w:val="24"/>
        </w:rPr>
        <w:t>問題答詢後離場（其他列席人員僅得就評選委員詢問事項發言）。</w:t>
      </w:r>
    </w:p>
    <w:p w14:paraId="3B1F1334" w14:textId="77777777" w:rsidR="00124A7B" w:rsidRPr="00227D2B" w:rsidRDefault="00E637E3">
      <w:pPr>
        <w:numPr>
          <w:ilvl w:val="0"/>
          <w:numId w:val="4"/>
        </w:numPr>
        <w:tabs>
          <w:tab w:val="left" w:pos="720"/>
        </w:tabs>
        <w:spacing w:line="400" w:lineRule="exact"/>
        <w:ind w:left="720"/>
        <w:jc w:val="both"/>
      </w:pPr>
      <w:r w:rsidRPr="00227D2B">
        <w:rPr>
          <w:rFonts w:eastAsia="標楷體"/>
          <w:szCs w:val="24"/>
        </w:rPr>
        <w:t>由各評選委員依評選項目評分後選出優勝廠商，</w:t>
      </w:r>
      <w:r w:rsidRPr="00227D2B">
        <w:rPr>
          <w:rFonts w:eastAsia="標楷體"/>
          <w:szCs w:val="24"/>
          <w:u w:val="single"/>
        </w:rPr>
        <w:t>並經評選委員會出席委員過半數同意，評選結果另函通知。</w:t>
      </w:r>
    </w:p>
    <w:p w14:paraId="323084C3" w14:textId="77777777" w:rsidR="00124A7B" w:rsidRPr="00227D2B" w:rsidRDefault="00E637E3">
      <w:pPr>
        <w:numPr>
          <w:ilvl w:val="0"/>
          <w:numId w:val="2"/>
        </w:numPr>
        <w:tabs>
          <w:tab w:val="left" w:pos="480"/>
        </w:tabs>
        <w:spacing w:before="180" w:line="400" w:lineRule="exact"/>
        <w:ind w:left="482" w:hanging="482"/>
        <w:jc w:val="both"/>
      </w:pPr>
      <w:r w:rsidRPr="00227D2B">
        <w:rPr>
          <w:rFonts w:eastAsia="標楷體"/>
          <w:szCs w:val="24"/>
        </w:rPr>
        <w:t>評選項目及配分（總分</w:t>
      </w:r>
      <w:r w:rsidRPr="00227D2B">
        <w:rPr>
          <w:rFonts w:eastAsia="標楷體"/>
          <w:szCs w:val="24"/>
        </w:rPr>
        <w:t>100</w:t>
      </w:r>
      <w:r w:rsidRPr="00227D2B">
        <w:rPr>
          <w:rFonts w:eastAsia="標楷體"/>
          <w:szCs w:val="24"/>
        </w:rPr>
        <w:t>分）：</w:t>
      </w:r>
    </w:p>
    <w:tbl>
      <w:tblPr>
        <w:tblW w:w="4627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9"/>
        <w:gridCol w:w="2663"/>
        <w:gridCol w:w="4924"/>
        <w:gridCol w:w="890"/>
      </w:tblGrid>
      <w:tr w:rsidR="00227D2B" w:rsidRPr="00227D2B" w14:paraId="21E136C6" w14:textId="77777777">
        <w:trPr>
          <w:tblHeader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6202A3" w14:textId="77777777" w:rsidR="00124A7B" w:rsidRPr="00227D2B" w:rsidRDefault="00E637E3">
            <w:pPr>
              <w:spacing w:line="320" w:lineRule="exact"/>
              <w:jc w:val="center"/>
              <w:rPr>
                <w:rFonts w:eastAsia="標楷體"/>
                <w:szCs w:val="28"/>
              </w:rPr>
            </w:pPr>
            <w:r w:rsidRPr="00227D2B">
              <w:rPr>
                <w:rFonts w:eastAsia="標楷體"/>
                <w:szCs w:val="28"/>
              </w:rPr>
              <w:t>項次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BD9DD" w14:textId="77777777" w:rsidR="00124A7B" w:rsidRPr="00227D2B" w:rsidRDefault="00E637E3">
            <w:pPr>
              <w:spacing w:line="320" w:lineRule="exact"/>
              <w:jc w:val="center"/>
            </w:pPr>
            <w:r w:rsidRPr="00227D2B">
              <w:rPr>
                <w:rFonts w:eastAsia="標楷體"/>
                <w:szCs w:val="28"/>
              </w:rPr>
              <w:t>評選項目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1EB64" w14:textId="77777777" w:rsidR="00124A7B" w:rsidRPr="00227D2B" w:rsidRDefault="00E637E3">
            <w:pPr>
              <w:spacing w:line="320" w:lineRule="exact"/>
              <w:jc w:val="center"/>
            </w:pPr>
            <w:r w:rsidRPr="00227D2B">
              <w:rPr>
                <w:rFonts w:eastAsia="標楷體"/>
                <w:szCs w:val="28"/>
              </w:rPr>
              <w:t>評選項目說明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06221" w14:textId="77777777" w:rsidR="00124A7B" w:rsidRPr="00227D2B" w:rsidRDefault="00E637E3">
            <w:pPr>
              <w:spacing w:line="320" w:lineRule="exact"/>
              <w:jc w:val="center"/>
              <w:rPr>
                <w:rFonts w:eastAsia="標楷體"/>
                <w:szCs w:val="28"/>
              </w:rPr>
            </w:pPr>
            <w:r w:rsidRPr="00227D2B">
              <w:rPr>
                <w:rFonts w:eastAsia="標楷體"/>
                <w:szCs w:val="28"/>
              </w:rPr>
              <w:t>配分</w:t>
            </w:r>
          </w:p>
        </w:tc>
      </w:tr>
      <w:tr w:rsidR="00227D2B" w:rsidRPr="00227D2B" w14:paraId="6B65C016" w14:textId="77777777">
        <w:trPr>
          <w:trHeight w:val="494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FF18E7" w14:textId="77777777" w:rsidR="00124A7B" w:rsidRPr="00227D2B" w:rsidRDefault="00E637E3">
            <w:pPr>
              <w:spacing w:line="320" w:lineRule="exact"/>
              <w:jc w:val="center"/>
              <w:rPr>
                <w:rFonts w:eastAsia="標楷體"/>
              </w:rPr>
            </w:pPr>
            <w:r w:rsidRPr="00227D2B">
              <w:rPr>
                <w:rFonts w:eastAsia="標楷體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B40FD" w14:textId="77777777" w:rsidR="00124A7B" w:rsidRPr="00227D2B" w:rsidRDefault="00E637E3">
            <w:pPr>
              <w:spacing w:line="320" w:lineRule="exact"/>
              <w:rPr>
                <w:rFonts w:eastAsia="標楷體"/>
              </w:rPr>
            </w:pPr>
            <w:r w:rsidRPr="00227D2B">
              <w:rPr>
                <w:rFonts w:eastAsia="標楷體"/>
              </w:rPr>
              <w:t>投資計畫、內容及圖說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91967" w14:textId="77777777" w:rsidR="00124A7B" w:rsidRPr="00227D2B" w:rsidRDefault="00E637E3">
            <w:pPr>
              <w:pStyle w:val="a9"/>
              <w:numPr>
                <w:ilvl w:val="0"/>
                <w:numId w:val="5"/>
              </w:numPr>
              <w:spacing w:line="320" w:lineRule="exact"/>
              <w:jc w:val="both"/>
              <w:rPr>
                <w:rFonts w:eastAsia="標楷體"/>
              </w:rPr>
            </w:pPr>
            <w:r w:rsidRPr="00227D2B">
              <w:rPr>
                <w:rFonts w:eastAsia="標楷體"/>
              </w:rPr>
              <w:t>投資願景。</w:t>
            </w:r>
          </w:p>
          <w:p w14:paraId="3B40690C" w14:textId="77777777" w:rsidR="00124A7B" w:rsidRPr="00227D2B" w:rsidRDefault="00E637E3">
            <w:pPr>
              <w:pStyle w:val="a9"/>
              <w:numPr>
                <w:ilvl w:val="0"/>
                <w:numId w:val="5"/>
              </w:numPr>
              <w:spacing w:line="320" w:lineRule="exact"/>
              <w:jc w:val="both"/>
              <w:rPr>
                <w:rFonts w:eastAsia="標楷體"/>
              </w:rPr>
            </w:pPr>
            <w:r w:rsidRPr="00227D2B">
              <w:rPr>
                <w:rFonts w:eastAsia="標楷體"/>
              </w:rPr>
              <w:t>空間規劃，如賣店裝修計畫、營業場所設施、設備規劃（含相關設施配置及範圍圖、設施投資金額等）。</w:t>
            </w:r>
          </w:p>
          <w:p w14:paraId="310AC907" w14:textId="77777777" w:rsidR="00124A7B" w:rsidRPr="00227D2B" w:rsidRDefault="00E637E3">
            <w:pPr>
              <w:pStyle w:val="a9"/>
              <w:numPr>
                <w:ilvl w:val="0"/>
                <w:numId w:val="5"/>
              </w:numPr>
              <w:spacing w:line="320" w:lineRule="exact"/>
              <w:jc w:val="both"/>
              <w:rPr>
                <w:rFonts w:eastAsia="標楷體"/>
              </w:rPr>
            </w:pPr>
            <w:r w:rsidRPr="00227D2B">
              <w:rPr>
                <w:rFonts w:eastAsia="標楷體"/>
              </w:rPr>
              <w:t>經營組織架構、營運人力規劃、營業項目。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ED8F4" w14:textId="77777777" w:rsidR="00124A7B" w:rsidRPr="00227D2B" w:rsidRDefault="00E637E3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27D2B">
              <w:rPr>
                <w:rFonts w:eastAsia="標楷體"/>
                <w:sz w:val="28"/>
                <w:szCs w:val="28"/>
              </w:rPr>
              <w:t>25</w:t>
            </w:r>
          </w:p>
        </w:tc>
      </w:tr>
      <w:tr w:rsidR="00227D2B" w:rsidRPr="00227D2B" w14:paraId="771D66BA" w14:textId="77777777">
        <w:trPr>
          <w:trHeight w:val="827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86F5B7" w14:textId="77777777" w:rsidR="00124A7B" w:rsidRPr="00227D2B" w:rsidRDefault="00E637E3">
            <w:pPr>
              <w:spacing w:line="320" w:lineRule="exact"/>
              <w:jc w:val="center"/>
              <w:rPr>
                <w:rFonts w:eastAsia="標楷體"/>
              </w:rPr>
            </w:pPr>
            <w:r w:rsidRPr="00227D2B">
              <w:rPr>
                <w:rFonts w:eastAsia="標楷體"/>
              </w:rPr>
              <w:t>2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D52B6" w14:textId="77777777" w:rsidR="00124A7B" w:rsidRPr="00227D2B" w:rsidRDefault="00E637E3">
            <w:pPr>
              <w:spacing w:line="320" w:lineRule="exact"/>
              <w:rPr>
                <w:rFonts w:eastAsia="標楷體"/>
              </w:rPr>
            </w:pPr>
            <w:r w:rsidRPr="00227D2B">
              <w:rPr>
                <w:rFonts w:eastAsia="標楷體"/>
              </w:rPr>
              <w:t>營運計畫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AD2CF" w14:textId="77777777" w:rsidR="00124A7B" w:rsidRPr="00227D2B" w:rsidRDefault="00E637E3">
            <w:pPr>
              <w:pStyle w:val="a9"/>
              <w:numPr>
                <w:ilvl w:val="0"/>
                <w:numId w:val="6"/>
              </w:numPr>
              <w:spacing w:line="320" w:lineRule="exact"/>
              <w:jc w:val="both"/>
              <w:rPr>
                <w:rFonts w:eastAsia="標楷體"/>
              </w:rPr>
            </w:pPr>
            <w:r w:rsidRPr="00227D2B">
              <w:rPr>
                <w:rFonts w:eastAsia="標楷體"/>
              </w:rPr>
              <w:t>營運管理、行銷活動規劃。</w:t>
            </w:r>
          </w:p>
          <w:p w14:paraId="6D65F5A3" w14:textId="77777777" w:rsidR="00124A7B" w:rsidRPr="00227D2B" w:rsidRDefault="00E637E3">
            <w:pPr>
              <w:pStyle w:val="a9"/>
              <w:numPr>
                <w:ilvl w:val="0"/>
                <w:numId w:val="6"/>
              </w:numPr>
              <w:spacing w:line="320" w:lineRule="exact"/>
              <w:jc w:val="both"/>
              <w:rPr>
                <w:rFonts w:eastAsia="標楷體"/>
              </w:rPr>
            </w:pPr>
            <w:r w:rsidRPr="00227D2B">
              <w:rPr>
                <w:rFonts w:eastAsia="標楷體"/>
              </w:rPr>
              <w:t>清潔維護管理計畫及食品與安全衛生計畫（含水、電、污水處理、廚餘處理、物品擺設位置、環境保護及販賣項目）。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D4F05" w14:textId="77777777" w:rsidR="00124A7B" w:rsidRPr="00227D2B" w:rsidRDefault="00E637E3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27D2B">
              <w:rPr>
                <w:rFonts w:eastAsia="標楷體"/>
                <w:sz w:val="28"/>
                <w:szCs w:val="28"/>
              </w:rPr>
              <w:t>20</w:t>
            </w:r>
          </w:p>
        </w:tc>
      </w:tr>
      <w:tr w:rsidR="00227D2B" w:rsidRPr="00227D2B" w14:paraId="5EE7678C" w14:textId="77777777">
        <w:trPr>
          <w:trHeight w:val="181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FAEDC6" w14:textId="77777777" w:rsidR="00124A7B" w:rsidRPr="00227D2B" w:rsidRDefault="00E637E3">
            <w:pPr>
              <w:spacing w:line="320" w:lineRule="exact"/>
              <w:jc w:val="center"/>
              <w:rPr>
                <w:rFonts w:eastAsia="標楷體"/>
              </w:rPr>
            </w:pPr>
            <w:r w:rsidRPr="00227D2B">
              <w:rPr>
                <w:rFonts w:eastAsia="標楷體"/>
              </w:rPr>
              <w:t>3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096AD" w14:textId="77777777" w:rsidR="00124A7B" w:rsidRPr="00227D2B" w:rsidRDefault="00E637E3">
            <w:pPr>
              <w:spacing w:line="320" w:lineRule="exact"/>
              <w:rPr>
                <w:rFonts w:eastAsia="標楷體"/>
              </w:rPr>
            </w:pPr>
            <w:r w:rsidRPr="00227D2B">
              <w:rPr>
                <w:rFonts w:eastAsia="標楷體"/>
              </w:rPr>
              <w:t>租金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14B36" w14:textId="77777777" w:rsidR="00124A7B" w:rsidRPr="00227D2B" w:rsidRDefault="00E637E3" w:rsidP="00511013">
            <w:pPr>
              <w:pStyle w:val="a9"/>
              <w:numPr>
                <w:ilvl w:val="0"/>
                <w:numId w:val="7"/>
              </w:numPr>
              <w:spacing w:line="320" w:lineRule="exact"/>
              <w:jc w:val="both"/>
              <w:rPr>
                <w:rFonts w:eastAsia="標楷體"/>
              </w:rPr>
            </w:pPr>
            <w:r w:rsidRPr="00227D2B">
              <w:rPr>
                <w:rFonts w:eastAsia="標楷體"/>
              </w:rPr>
              <w:t>標租租金成本分析，並說明估算模式及財務效益評估之合理性。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EFA5C" w14:textId="77777777" w:rsidR="00124A7B" w:rsidRPr="00227D2B" w:rsidRDefault="00E637E3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27D2B">
              <w:rPr>
                <w:rFonts w:eastAsia="標楷體"/>
                <w:sz w:val="28"/>
                <w:szCs w:val="28"/>
              </w:rPr>
              <w:t>20</w:t>
            </w:r>
          </w:p>
        </w:tc>
      </w:tr>
      <w:tr w:rsidR="00227D2B" w:rsidRPr="00227D2B" w14:paraId="2E365E7F" w14:textId="77777777">
        <w:trPr>
          <w:trHeight w:val="70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7C54AD" w14:textId="77777777" w:rsidR="00124A7B" w:rsidRPr="00227D2B" w:rsidRDefault="00E637E3">
            <w:pPr>
              <w:spacing w:line="320" w:lineRule="exact"/>
              <w:jc w:val="center"/>
              <w:rPr>
                <w:rFonts w:eastAsia="標楷體"/>
              </w:rPr>
            </w:pPr>
            <w:r w:rsidRPr="00227D2B">
              <w:rPr>
                <w:rFonts w:eastAsia="標楷體"/>
              </w:rPr>
              <w:lastRenderedPageBreak/>
              <w:t>4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9637D" w14:textId="77777777" w:rsidR="00124A7B" w:rsidRPr="00227D2B" w:rsidRDefault="00E637E3">
            <w:pPr>
              <w:spacing w:line="320" w:lineRule="exact"/>
            </w:pPr>
            <w:r w:rsidRPr="00227D2B">
              <w:rPr>
                <w:rFonts w:eastAsia="標楷體"/>
              </w:rPr>
              <w:t>營運團隊及實績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A88F3" w14:textId="77777777" w:rsidR="00124A7B" w:rsidRPr="00227D2B" w:rsidRDefault="00E637E3">
            <w:pPr>
              <w:pStyle w:val="a9"/>
              <w:numPr>
                <w:ilvl w:val="0"/>
                <w:numId w:val="8"/>
              </w:numPr>
              <w:spacing w:line="320" w:lineRule="exact"/>
              <w:jc w:val="both"/>
              <w:rPr>
                <w:rFonts w:eastAsia="標楷體"/>
              </w:rPr>
            </w:pPr>
            <w:r w:rsidRPr="00227D2B">
              <w:rPr>
                <w:rFonts w:eastAsia="標楷體"/>
              </w:rPr>
              <w:t>營運團隊介紹（如經營理念與經營創新、營業項目、人員素質與教育訓練等）。</w:t>
            </w:r>
          </w:p>
          <w:p w14:paraId="1064CA9E" w14:textId="77777777" w:rsidR="00124A7B" w:rsidRPr="00227D2B" w:rsidRDefault="00E637E3">
            <w:pPr>
              <w:pStyle w:val="a9"/>
              <w:numPr>
                <w:ilvl w:val="0"/>
                <w:numId w:val="8"/>
              </w:numPr>
              <w:spacing w:line="320" w:lineRule="exact"/>
              <w:jc w:val="both"/>
              <w:rPr>
                <w:rFonts w:eastAsia="標楷體"/>
              </w:rPr>
            </w:pPr>
            <w:r w:rsidRPr="00227D2B">
              <w:rPr>
                <w:rFonts w:eastAsia="標楷體"/>
              </w:rPr>
              <w:t>預計投入人力。</w:t>
            </w:r>
          </w:p>
          <w:p w14:paraId="05BDB817" w14:textId="77777777" w:rsidR="00124A7B" w:rsidRPr="00227D2B" w:rsidRDefault="00E637E3">
            <w:pPr>
              <w:pStyle w:val="a9"/>
              <w:numPr>
                <w:ilvl w:val="0"/>
                <w:numId w:val="8"/>
              </w:numPr>
              <w:spacing w:line="320" w:lineRule="exact"/>
              <w:jc w:val="both"/>
              <w:rPr>
                <w:rFonts w:eastAsia="標楷體"/>
              </w:rPr>
            </w:pPr>
            <w:r w:rsidRPr="00227D2B">
              <w:rPr>
                <w:rFonts w:eastAsia="標楷體"/>
              </w:rPr>
              <w:t>承作實績與經驗。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BEFAB" w14:textId="77777777" w:rsidR="00124A7B" w:rsidRPr="00227D2B" w:rsidRDefault="00E637E3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27D2B">
              <w:rPr>
                <w:rFonts w:eastAsia="標楷體"/>
                <w:sz w:val="28"/>
                <w:szCs w:val="28"/>
              </w:rPr>
              <w:t>15</w:t>
            </w:r>
          </w:p>
        </w:tc>
      </w:tr>
      <w:tr w:rsidR="00227D2B" w:rsidRPr="00227D2B" w14:paraId="55BA60B0" w14:textId="77777777">
        <w:trPr>
          <w:trHeight w:val="507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D3ECC6" w14:textId="77777777" w:rsidR="00124A7B" w:rsidRPr="00227D2B" w:rsidRDefault="00E637E3">
            <w:pPr>
              <w:spacing w:line="320" w:lineRule="exact"/>
              <w:jc w:val="center"/>
              <w:rPr>
                <w:rFonts w:eastAsia="標楷體"/>
              </w:rPr>
            </w:pPr>
            <w:r w:rsidRPr="00227D2B">
              <w:rPr>
                <w:rFonts w:eastAsia="標楷體"/>
              </w:rPr>
              <w:t>5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F6270" w14:textId="77777777" w:rsidR="00124A7B" w:rsidRPr="00227D2B" w:rsidRDefault="00E637E3">
            <w:pPr>
              <w:spacing w:line="320" w:lineRule="exact"/>
              <w:rPr>
                <w:rFonts w:eastAsia="標楷體"/>
              </w:rPr>
            </w:pPr>
            <w:r w:rsidRPr="00227D2B">
              <w:rPr>
                <w:rFonts w:eastAsia="標楷體"/>
              </w:rPr>
              <w:t>營運創意及回饋計畫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03BEE" w14:textId="77777777" w:rsidR="00124A7B" w:rsidRPr="00227D2B" w:rsidRDefault="00E637E3">
            <w:pPr>
              <w:pStyle w:val="a9"/>
              <w:numPr>
                <w:ilvl w:val="0"/>
                <w:numId w:val="9"/>
              </w:numPr>
              <w:spacing w:line="320" w:lineRule="exact"/>
              <w:jc w:val="both"/>
              <w:rPr>
                <w:rFonts w:eastAsia="標楷體"/>
              </w:rPr>
            </w:pPr>
            <w:r w:rsidRPr="00227D2B">
              <w:rPr>
                <w:rFonts w:eastAsia="標楷體"/>
              </w:rPr>
              <w:t>由投標團隊提出與本案標的物有關之創意經營構想。</w:t>
            </w:r>
          </w:p>
          <w:p w14:paraId="6C67D9BF" w14:textId="77777777" w:rsidR="00124A7B" w:rsidRPr="00227D2B" w:rsidRDefault="00E637E3">
            <w:pPr>
              <w:pStyle w:val="a9"/>
              <w:numPr>
                <w:ilvl w:val="0"/>
                <w:numId w:val="9"/>
              </w:numPr>
              <w:spacing w:line="320" w:lineRule="exact"/>
              <w:jc w:val="both"/>
              <w:rPr>
                <w:rFonts w:eastAsia="標楷體"/>
              </w:rPr>
            </w:pPr>
            <w:r w:rsidRPr="00227D2B">
              <w:rPr>
                <w:rFonts w:eastAsia="標楷體"/>
              </w:rPr>
              <w:t>對地方之優惠、回饋計畫或行銷計畫，及與桃園市政府活動之融合度等。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96EBE" w14:textId="77777777" w:rsidR="00124A7B" w:rsidRPr="00227D2B" w:rsidRDefault="00E637E3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27D2B">
              <w:rPr>
                <w:rFonts w:eastAsia="標楷體"/>
                <w:sz w:val="28"/>
                <w:szCs w:val="28"/>
              </w:rPr>
              <w:t>10</w:t>
            </w:r>
          </w:p>
        </w:tc>
      </w:tr>
      <w:tr w:rsidR="00227D2B" w:rsidRPr="00227D2B" w14:paraId="1A90D1DA" w14:textId="77777777">
        <w:trPr>
          <w:trHeight w:val="567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1C2ED4" w14:textId="77777777" w:rsidR="00124A7B" w:rsidRPr="00227D2B" w:rsidRDefault="00E637E3">
            <w:pPr>
              <w:spacing w:line="320" w:lineRule="exact"/>
              <w:jc w:val="center"/>
              <w:rPr>
                <w:rFonts w:eastAsia="標楷體"/>
              </w:rPr>
            </w:pPr>
            <w:r w:rsidRPr="00227D2B">
              <w:rPr>
                <w:rFonts w:eastAsia="標楷體"/>
              </w:rPr>
              <w:t>6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D74A0" w14:textId="77777777" w:rsidR="00124A7B" w:rsidRPr="00227D2B" w:rsidRDefault="00E637E3">
            <w:pPr>
              <w:spacing w:line="320" w:lineRule="exact"/>
              <w:jc w:val="both"/>
              <w:rPr>
                <w:rFonts w:eastAsia="標楷體"/>
              </w:rPr>
            </w:pPr>
            <w:r w:rsidRPr="00227D2B">
              <w:rPr>
                <w:rFonts w:eastAsia="標楷體"/>
              </w:rPr>
              <w:t>簡報答詢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FF066" w14:textId="77777777" w:rsidR="00124A7B" w:rsidRPr="00227D2B" w:rsidRDefault="00124A7B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63D78" w14:textId="77777777" w:rsidR="00124A7B" w:rsidRPr="00227D2B" w:rsidRDefault="00E637E3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27D2B">
              <w:rPr>
                <w:rFonts w:eastAsia="標楷體"/>
                <w:sz w:val="28"/>
                <w:szCs w:val="28"/>
              </w:rPr>
              <w:t>10</w:t>
            </w:r>
          </w:p>
        </w:tc>
      </w:tr>
    </w:tbl>
    <w:p w14:paraId="40CF66F2" w14:textId="77777777" w:rsidR="00124A7B" w:rsidRPr="00227D2B" w:rsidRDefault="00E637E3">
      <w:pPr>
        <w:numPr>
          <w:ilvl w:val="0"/>
          <w:numId w:val="2"/>
        </w:numPr>
        <w:tabs>
          <w:tab w:val="left" w:pos="480"/>
        </w:tabs>
        <w:spacing w:before="180" w:line="400" w:lineRule="exact"/>
        <w:ind w:left="482" w:hanging="482"/>
        <w:jc w:val="both"/>
      </w:pPr>
      <w:r w:rsidRPr="00227D2B">
        <w:rPr>
          <w:rFonts w:eastAsia="標楷體"/>
          <w:szCs w:val="24"/>
        </w:rPr>
        <w:t>評選方式：</w:t>
      </w:r>
    </w:p>
    <w:p w14:paraId="6FAD2814" w14:textId="77777777" w:rsidR="00124A7B" w:rsidRPr="00227D2B" w:rsidRDefault="00E637E3">
      <w:pPr>
        <w:numPr>
          <w:ilvl w:val="0"/>
          <w:numId w:val="10"/>
        </w:numPr>
        <w:spacing w:line="400" w:lineRule="exact"/>
        <w:jc w:val="both"/>
      </w:pPr>
      <w:r w:rsidRPr="00227D2B">
        <w:rPr>
          <w:rFonts w:eastAsia="標楷體"/>
          <w:szCs w:val="24"/>
        </w:rPr>
        <w:t>本評選作業採「序位法」評定，且</w:t>
      </w:r>
      <w:r w:rsidRPr="00227D2B">
        <w:rPr>
          <w:rFonts w:eastAsia="標楷體"/>
          <w:b/>
          <w:szCs w:val="24"/>
        </w:rPr>
        <w:t>租金</w:t>
      </w:r>
      <w:r w:rsidRPr="00227D2B">
        <w:rPr>
          <w:rFonts w:eastAsia="標楷體"/>
          <w:szCs w:val="24"/>
        </w:rPr>
        <w:t>納入評比。</w:t>
      </w:r>
    </w:p>
    <w:p w14:paraId="60E7831F" w14:textId="77777777" w:rsidR="00124A7B" w:rsidRPr="00227D2B" w:rsidRDefault="00E637E3">
      <w:pPr>
        <w:numPr>
          <w:ilvl w:val="0"/>
          <w:numId w:val="10"/>
        </w:numPr>
        <w:spacing w:line="400" w:lineRule="exact"/>
        <w:jc w:val="both"/>
      </w:pPr>
      <w:r w:rsidRPr="00227D2B">
        <w:rPr>
          <w:rFonts w:eastAsia="標楷體"/>
          <w:szCs w:val="24"/>
        </w:rPr>
        <w:t>評選委員辦理序位評比，應就各評選項目分別評分後予以加總，並依加總分數由高至低轉換為</w:t>
      </w:r>
      <w:r w:rsidRPr="00227D2B">
        <w:rPr>
          <w:rFonts w:eastAsia="標楷體"/>
          <w:szCs w:val="24"/>
        </w:rPr>
        <w:t>1</w:t>
      </w:r>
      <w:r w:rsidRPr="00227D2B">
        <w:rPr>
          <w:rFonts w:eastAsia="標楷體"/>
          <w:szCs w:val="24"/>
        </w:rPr>
        <w:t>、</w:t>
      </w:r>
      <w:r w:rsidRPr="00227D2B">
        <w:rPr>
          <w:rFonts w:eastAsia="標楷體"/>
          <w:szCs w:val="24"/>
        </w:rPr>
        <w:t>2</w:t>
      </w:r>
      <w:r w:rsidRPr="00227D2B">
        <w:rPr>
          <w:rFonts w:eastAsia="標楷體"/>
          <w:szCs w:val="24"/>
        </w:rPr>
        <w:t>、</w:t>
      </w:r>
      <w:r w:rsidRPr="00227D2B">
        <w:rPr>
          <w:rFonts w:eastAsia="標楷體"/>
          <w:szCs w:val="24"/>
        </w:rPr>
        <w:t>3</w:t>
      </w:r>
      <w:r w:rsidRPr="00227D2B">
        <w:rPr>
          <w:rFonts w:eastAsia="標楷體"/>
          <w:szCs w:val="24"/>
        </w:rPr>
        <w:t>．．．等之序位，惟同一評選委員所評之各廠商總分數不得同分，亦即「優先順序值」無相同者。</w:t>
      </w:r>
    </w:p>
    <w:p w14:paraId="2C9E1FD8" w14:textId="77777777" w:rsidR="00124A7B" w:rsidRPr="00227D2B" w:rsidRDefault="00E637E3">
      <w:pPr>
        <w:numPr>
          <w:ilvl w:val="0"/>
          <w:numId w:val="10"/>
        </w:numPr>
        <w:spacing w:line="400" w:lineRule="exact"/>
        <w:jc w:val="both"/>
      </w:pPr>
      <w:r w:rsidRPr="00227D2B">
        <w:rPr>
          <w:rFonts w:eastAsia="標楷體"/>
          <w:szCs w:val="24"/>
        </w:rPr>
        <w:t>次由本局業務單位彙整各評選委員之評分表，倘參加評選廠商經出席評選委員會半數以上委員評分未達</w:t>
      </w:r>
      <w:r w:rsidRPr="00227D2B">
        <w:rPr>
          <w:rFonts w:eastAsia="標楷體"/>
          <w:szCs w:val="24"/>
          <w:u w:val="single"/>
        </w:rPr>
        <w:t>75</w:t>
      </w:r>
      <w:r w:rsidRPr="00227D2B">
        <w:rPr>
          <w:rFonts w:eastAsia="標楷體"/>
          <w:szCs w:val="24"/>
        </w:rPr>
        <w:t>分者，即為不合格廠商，不列為後續優勝序位計算。倘均無合格廠商，本次開標結果廢標。</w:t>
      </w:r>
    </w:p>
    <w:p w14:paraId="4938644E" w14:textId="77777777" w:rsidR="00124A7B" w:rsidRPr="00227D2B" w:rsidRDefault="00E637E3">
      <w:pPr>
        <w:numPr>
          <w:ilvl w:val="0"/>
          <w:numId w:val="10"/>
        </w:numPr>
        <w:spacing w:line="400" w:lineRule="exact"/>
        <w:jc w:val="both"/>
      </w:pPr>
      <w:r w:rsidRPr="00227D2B">
        <w:rPr>
          <w:rFonts w:eastAsia="標楷體"/>
          <w:szCs w:val="24"/>
        </w:rPr>
        <w:t>加總各合格廠商之序位值，以合計值最低者為第</w:t>
      </w:r>
      <w:r w:rsidRPr="00227D2B">
        <w:rPr>
          <w:rFonts w:eastAsia="標楷體"/>
          <w:szCs w:val="24"/>
        </w:rPr>
        <w:t>1</w:t>
      </w:r>
      <w:r w:rsidRPr="00227D2B">
        <w:rPr>
          <w:rFonts w:eastAsia="標楷體"/>
          <w:szCs w:val="24"/>
        </w:rPr>
        <w:t>名，次低者為第</w:t>
      </w:r>
      <w:r w:rsidRPr="00227D2B">
        <w:rPr>
          <w:rFonts w:eastAsia="標楷體"/>
          <w:szCs w:val="24"/>
        </w:rPr>
        <w:t>2</w:t>
      </w:r>
      <w:r w:rsidRPr="00227D2B">
        <w:rPr>
          <w:rFonts w:eastAsia="標楷體"/>
          <w:szCs w:val="24"/>
        </w:rPr>
        <w:t>名，餘依此類推，此為本出租案之優勝序位，序位第</w:t>
      </w:r>
      <w:r w:rsidRPr="00227D2B">
        <w:rPr>
          <w:rFonts w:eastAsia="標楷體"/>
          <w:szCs w:val="24"/>
        </w:rPr>
        <w:t>1</w:t>
      </w:r>
      <w:r w:rsidRPr="00227D2B">
        <w:rPr>
          <w:rFonts w:eastAsia="標楷體"/>
          <w:szCs w:val="24"/>
        </w:rPr>
        <w:t>名為最優勝廠商。</w:t>
      </w:r>
    </w:p>
    <w:p w14:paraId="136CDF14" w14:textId="77777777" w:rsidR="00124A7B" w:rsidRPr="00227D2B" w:rsidRDefault="00E637E3">
      <w:pPr>
        <w:numPr>
          <w:ilvl w:val="0"/>
          <w:numId w:val="10"/>
        </w:numPr>
        <w:spacing w:line="400" w:lineRule="exact"/>
        <w:jc w:val="both"/>
      </w:pPr>
      <w:r w:rsidRPr="00227D2B">
        <w:rPr>
          <w:rFonts w:eastAsia="標楷體"/>
          <w:szCs w:val="24"/>
        </w:rPr>
        <w:t>本出租案依優勝序位，自最優勝廠商起，依序與本局辦理議價。倘有</w:t>
      </w:r>
      <w:r w:rsidRPr="00227D2B">
        <w:rPr>
          <w:rFonts w:eastAsia="標楷體"/>
          <w:szCs w:val="24"/>
        </w:rPr>
        <w:t>2</w:t>
      </w:r>
      <w:r w:rsidRPr="00227D2B">
        <w:rPr>
          <w:rFonts w:eastAsia="標楷體"/>
          <w:szCs w:val="24"/>
        </w:rPr>
        <w:t>家以上廠商為同一優勝序位者，且均得為決標對象時，以</w:t>
      </w:r>
      <w:r w:rsidRPr="00227D2B">
        <w:rPr>
          <w:rFonts w:eastAsia="標楷體"/>
          <w:b/>
          <w:szCs w:val="24"/>
        </w:rPr>
        <w:t>租金高</w:t>
      </w:r>
      <w:r w:rsidRPr="00227D2B">
        <w:rPr>
          <w:rFonts w:eastAsia="標楷體"/>
          <w:szCs w:val="24"/>
        </w:rPr>
        <w:t>者優先議價。標價仍相同者，擇評選</w:t>
      </w:r>
      <w:r w:rsidRPr="00227D2B">
        <w:rPr>
          <w:rFonts w:eastAsia="標楷體"/>
          <w:b/>
          <w:szCs w:val="24"/>
        </w:rPr>
        <w:t>項次</w:t>
      </w:r>
      <w:r w:rsidRPr="00227D2B">
        <w:rPr>
          <w:rFonts w:eastAsia="標楷體"/>
          <w:b/>
          <w:szCs w:val="24"/>
        </w:rPr>
        <w:t>1</w:t>
      </w:r>
      <w:r w:rsidRPr="00227D2B">
        <w:rPr>
          <w:rFonts w:eastAsia="標楷體"/>
          <w:szCs w:val="24"/>
        </w:rPr>
        <w:t>之得分較高者取得優先議價權，得分仍相同者，抽籤決定之。</w:t>
      </w:r>
    </w:p>
    <w:p w14:paraId="52B6B477" w14:textId="77777777" w:rsidR="00124A7B" w:rsidRPr="00227D2B" w:rsidRDefault="00E637E3">
      <w:pPr>
        <w:numPr>
          <w:ilvl w:val="0"/>
          <w:numId w:val="10"/>
        </w:numPr>
        <w:spacing w:line="400" w:lineRule="exact"/>
        <w:jc w:val="both"/>
      </w:pPr>
      <w:r w:rsidRPr="00227D2B">
        <w:rPr>
          <w:rFonts w:eastAsia="標楷體"/>
          <w:szCs w:val="24"/>
        </w:rPr>
        <w:t>評選會當日投標廠商未派員簡報及備詢，「簡報與答詢」項得分以</w:t>
      </w:r>
      <w:r w:rsidRPr="00227D2B">
        <w:rPr>
          <w:rFonts w:eastAsia="標楷體"/>
          <w:szCs w:val="24"/>
        </w:rPr>
        <w:t>0</w:t>
      </w:r>
      <w:r w:rsidRPr="00227D2B">
        <w:rPr>
          <w:rFonts w:eastAsia="標楷體"/>
          <w:szCs w:val="24"/>
        </w:rPr>
        <w:t>分計</w:t>
      </w:r>
      <w:r w:rsidRPr="00227D2B">
        <w:rPr>
          <w:rFonts w:eastAsia="標楷體"/>
          <w:b/>
          <w:szCs w:val="24"/>
        </w:rPr>
        <w:t>。</w:t>
      </w:r>
    </w:p>
    <w:p w14:paraId="46362DE5" w14:textId="77777777" w:rsidR="00124A7B" w:rsidRPr="00227D2B" w:rsidRDefault="00124A7B">
      <w:pPr>
        <w:spacing w:line="400" w:lineRule="exact"/>
        <w:jc w:val="both"/>
        <w:rPr>
          <w:rFonts w:eastAsia="標楷體"/>
          <w:b/>
          <w:szCs w:val="24"/>
        </w:rPr>
      </w:pPr>
    </w:p>
    <w:p w14:paraId="278B7CEA" w14:textId="77777777" w:rsidR="00124A7B" w:rsidRPr="00227D2B" w:rsidRDefault="00124A7B">
      <w:pPr>
        <w:spacing w:line="400" w:lineRule="exact"/>
        <w:jc w:val="both"/>
        <w:rPr>
          <w:rFonts w:eastAsia="標楷體"/>
          <w:b/>
          <w:szCs w:val="24"/>
        </w:rPr>
      </w:pPr>
    </w:p>
    <w:p w14:paraId="2D43E4DE" w14:textId="77777777" w:rsidR="00124A7B" w:rsidRPr="00227D2B" w:rsidRDefault="00124A7B">
      <w:pPr>
        <w:spacing w:line="400" w:lineRule="exact"/>
        <w:jc w:val="both"/>
        <w:rPr>
          <w:rFonts w:eastAsia="標楷體"/>
          <w:b/>
          <w:szCs w:val="24"/>
        </w:rPr>
      </w:pPr>
    </w:p>
    <w:p w14:paraId="20AFD38B" w14:textId="77777777" w:rsidR="00124A7B" w:rsidRPr="00227D2B" w:rsidRDefault="00124A7B">
      <w:pPr>
        <w:spacing w:line="400" w:lineRule="exact"/>
        <w:jc w:val="both"/>
        <w:rPr>
          <w:rFonts w:eastAsia="標楷體"/>
          <w:b/>
          <w:szCs w:val="24"/>
        </w:rPr>
      </w:pPr>
    </w:p>
    <w:p w14:paraId="14534C7F" w14:textId="77777777" w:rsidR="00124A7B" w:rsidRPr="00227D2B" w:rsidRDefault="00124A7B">
      <w:pPr>
        <w:spacing w:line="400" w:lineRule="exact"/>
        <w:jc w:val="both"/>
        <w:rPr>
          <w:rFonts w:eastAsia="標楷體"/>
          <w:b/>
          <w:szCs w:val="24"/>
        </w:rPr>
      </w:pPr>
    </w:p>
    <w:p w14:paraId="5AAA652C" w14:textId="77777777" w:rsidR="00124A7B" w:rsidRPr="00227D2B" w:rsidRDefault="00124A7B">
      <w:pPr>
        <w:spacing w:line="400" w:lineRule="exact"/>
        <w:jc w:val="both"/>
        <w:rPr>
          <w:rFonts w:eastAsia="標楷體"/>
          <w:b/>
          <w:szCs w:val="24"/>
        </w:rPr>
      </w:pPr>
    </w:p>
    <w:p w14:paraId="55F83C4C" w14:textId="77777777" w:rsidR="00124A7B" w:rsidRPr="00227D2B" w:rsidRDefault="00124A7B">
      <w:pPr>
        <w:spacing w:line="400" w:lineRule="exact"/>
        <w:jc w:val="both"/>
        <w:rPr>
          <w:rFonts w:eastAsia="標楷體"/>
          <w:b/>
          <w:szCs w:val="24"/>
        </w:rPr>
      </w:pPr>
    </w:p>
    <w:p w14:paraId="2F2E1E5B" w14:textId="77777777" w:rsidR="00124A7B" w:rsidRPr="00227D2B" w:rsidRDefault="00124A7B">
      <w:pPr>
        <w:spacing w:line="400" w:lineRule="exact"/>
        <w:jc w:val="both"/>
        <w:rPr>
          <w:rFonts w:eastAsia="標楷體"/>
          <w:b/>
          <w:szCs w:val="24"/>
        </w:rPr>
      </w:pPr>
    </w:p>
    <w:p w14:paraId="174F4E5F" w14:textId="77777777" w:rsidR="00124A7B" w:rsidRPr="00227D2B" w:rsidRDefault="00124A7B">
      <w:pPr>
        <w:spacing w:line="400" w:lineRule="exact"/>
        <w:jc w:val="both"/>
        <w:rPr>
          <w:rFonts w:eastAsia="標楷體"/>
          <w:b/>
          <w:szCs w:val="24"/>
        </w:rPr>
      </w:pPr>
    </w:p>
    <w:p w14:paraId="587E46A9" w14:textId="77777777" w:rsidR="00124A7B" w:rsidRPr="00227D2B" w:rsidRDefault="00124A7B">
      <w:pPr>
        <w:spacing w:line="400" w:lineRule="exact"/>
        <w:jc w:val="both"/>
        <w:rPr>
          <w:rFonts w:eastAsia="標楷體"/>
          <w:b/>
          <w:szCs w:val="24"/>
        </w:rPr>
      </w:pPr>
    </w:p>
    <w:p w14:paraId="7F69AB6A" w14:textId="77777777" w:rsidR="00124A7B" w:rsidRPr="00227D2B" w:rsidRDefault="00124A7B">
      <w:pPr>
        <w:spacing w:line="400" w:lineRule="exact"/>
        <w:jc w:val="both"/>
        <w:rPr>
          <w:rFonts w:eastAsia="標楷體"/>
          <w:b/>
          <w:szCs w:val="24"/>
        </w:rPr>
      </w:pPr>
    </w:p>
    <w:p w14:paraId="13E2028A" w14:textId="77777777" w:rsidR="00124A7B" w:rsidRPr="00227D2B" w:rsidRDefault="00124A7B">
      <w:pPr>
        <w:spacing w:line="400" w:lineRule="exact"/>
        <w:jc w:val="both"/>
        <w:rPr>
          <w:rFonts w:eastAsia="標楷體"/>
          <w:b/>
          <w:szCs w:val="24"/>
        </w:rPr>
      </w:pPr>
    </w:p>
    <w:p w14:paraId="60881384" w14:textId="77777777" w:rsidR="00124A7B" w:rsidRPr="00227D2B" w:rsidRDefault="00124A7B">
      <w:pPr>
        <w:spacing w:line="400" w:lineRule="exact"/>
        <w:jc w:val="both"/>
        <w:rPr>
          <w:rFonts w:eastAsia="標楷體"/>
          <w:b/>
          <w:szCs w:val="24"/>
        </w:rPr>
      </w:pPr>
    </w:p>
    <w:p w14:paraId="5F618F4F" w14:textId="77777777" w:rsidR="00124A7B" w:rsidRPr="00227D2B" w:rsidRDefault="00124A7B">
      <w:pPr>
        <w:spacing w:line="400" w:lineRule="exact"/>
        <w:jc w:val="both"/>
        <w:rPr>
          <w:rFonts w:eastAsia="標楷體"/>
          <w:b/>
          <w:szCs w:val="24"/>
        </w:rPr>
      </w:pPr>
    </w:p>
    <w:p w14:paraId="3CC3BA2B" w14:textId="77777777" w:rsidR="00124A7B" w:rsidRPr="00227D2B" w:rsidRDefault="00E637E3">
      <w:pPr>
        <w:snapToGrid w:val="0"/>
        <w:spacing w:before="183" w:after="183"/>
        <w:jc w:val="center"/>
        <w:rPr>
          <w:rFonts w:ascii="標楷體" w:eastAsia="標楷體" w:hAnsi="標楷體"/>
          <w:sz w:val="28"/>
        </w:rPr>
      </w:pPr>
      <w:r w:rsidRPr="00227D2B">
        <w:rPr>
          <w:rFonts w:ascii="標楷體" w:eastAsia="標楷體" w:hAnsi="標楷體"/>
          <w:sz w:val="28"/>
        </w:rPr>
        <w:lastRenderedPageBreak/>
        <w:t>桃園市政府都市發展局</w:t>
      </w:r>
    </w:p>
    <w:p w14:paraId="3BC9CFC0" w14:textId="77777777" w:rsidR="00124A7B" w:rsidRPr="00227D2B" w:rsidRDefault="00E637E3">
      <w:pPr>
        <w:snapToGrid w:val="0"/>
        <w:spacing w:before="183" w:after="183"/>
        <w:jc w:val="center"/>
        <w:rPr>
          <w:rFonts w:ascii="標楷體" w:eastAsia="標楷體" w:hAnsi="標楷體"/>
          <w:sz w:val="28"/>
        </w:rPr>
      </w:pPr>
      <w:r w:rsidRPr="00227D2B">
        <w:rPr>
          <w:rFonts w:ascii="標楷體" w:eastAsia="標楷體" w:hAnsi="標楷體"/>
          <w:sz w:val="28"/>
        </w:rPr>
        <w:t>評選委員評選總表(序位法)</w:t>
      </w:r>
    </w:p>
    <w:p w14:paraId="4833C135" w14:textId="77777777" w:rsidR="00124A7B" w:rsidRPr="00227D2B" w:rsidRDefault="00124A7B">
      <w:pPr>
        <w:snapToGrid w:val="0"/>
        <w:spacing w:before="183" w:after="183"/>
        <w:ind w:firstLine="848"/>
        <w:jc w:val="center"/>
        <w:rPr>
          <w:rFonts w:ascii="標楷體" w:eastAsia="標楷體" w:hAnsi="標楷體"/>
          <w:sz w:val="28"/>
        </w:rPr>
      </w:pPr>
    </w:p>
    <w:p w14:paraId="0487DA89" w14:textId="5B9A6F8F" w:rsidR="00124A7B" w:rsidRPr="00227D2B" w:rsidRDefault="00E637E3">
      <w:pPr>
        <w:snapToGrid w:val="0"/>
        <w:ind w:firstLine="727"/>
      </w:pPr>
      <w:r w:rsidRPr="00227D2B">
        <w:rPr>
          <w:rFonts w:ascii="標楷體" w:eastAsia="標楷體" w:hAnsi="標楷體"/>
        </w:rPr>
        <w:t>採購案名：</w:t>
      </w:r>
      <w:r w:rsidR="00D67051" w:rsidRPr="00227D2B">
        <w:rPr>
          <w:rFonts w:ascii="標楷體" w:eastAsia="標楷體" w:hAnsi="標楷體"/>
        </w:rPr>
        <w:t>桃園市桃園區虎頭山創新園區</w:t>
      </w:r>
      <w:r w:rsidR="008943B4">
        <w:rPr>
          <w:rFonts w:ascii="標楷體" w:eastAsia="標楷體" w:hAnsi="標楷體" w:hint="eastAsia"/>
        </w:rPr>
        <w:t>B06商業空間</w:t>
      </w:r>
      <w:r w:rsidR="00D67051" w:rsidRPr="00227D2B">
        <w:rPr>
          <w:rFonts w:ascii="標楷體" w:eastAsia="標楷體" w:hAnsi="標楷體" w:hint="eastAsia"/>
        </w:rPr>
        <w:t>公開標租</w:t>
      </w:r>
      <w:r w:rsidRPr="00227D2B">
        <w:rPr>
          <w:rFonts w:ascii="標楷體" w:eastAsia="標楷體" w:hAnsi="標楷體"/>
        </w:rPr>
        <w:t>案</w:t>
      </w:r>
    </w:p>
    <w:p w14:paraId="6AD769CC" w14:textId="0F959789" w:rsidR="00124A7B" w:rsidRPr="00227D2B" w:rsidRDefault="00E637E3">
      <w:pPr>
        <w:snapToGrid w:val="0"/>
        <w:ind w:firstLine="727"/>
        <w:rPr>
          <w:rFonts w:ascii="標楷體" w:eastAsia="標楷體" w:hAnsi="標楷體"/>
        </w:rPr>
      </w:pPr>
      <w:r w:rsidRPr="00227D2B">
        <w:rPr>
          <w:rFonts w:ascii="標楷體" w:eastAsia="標楷體" w:hAnsi="標楷體"/>
        </w:rPr>
        <w:t>日期：11</w:t>
      </w:r>
      <w:r w:rsidR="00737694">
        <w:rPr>
          <w:rFonts w:ascii="標楷體" w:eastAsia="標楷體" w:hAnsi="標楷體" w:hint="eastAsia"/>
        </w:rPr>
        <w:t>1</w:t>
      </w:r>
      <w:r w:rsidRPr="00227D2B">
        <w:rPr>
          <w:rFonts w:ascii="標楷體" w:eastAsia="標楷體" w:hAnsi="標楷體"/>
        </w:rPr>
        <w:t>年　月　日</w:t>
      </w:r>
    </w:p>
    <w:tbl>
      <w:tblPr>
        <w:tblW w:w="8931" w:type="dxa"/>
        <w:tblInd w:w="7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0"/>
        <w:gridCol w:w="1413"/>
        <w:gridCol w:w="1024"/>
        <w:gridCol w:w="145"/>
        <w:gridCol w:w="723"/>
        <w:gridCol w:w="290"/>
        <w:gridCol w:w="578"/>
        <w:gridCol w:w="434"/>
        <w:gridCol w:w="434"/>
        <w:gridCol w:w="579"/>
        <w:gridCol w:w="289"/>
        <w:gridCol w:w="723"/>
        <w:gridCol w:w="145"/>
        <w:gridCol w:w="1014"/>
      </w:tblGrid>
      <w:tr w:rsidR="00227D2B" w:rsidRPr="00227D2B" w14:paraId="387856A2" w14:textId="77777777">
        <w:trPr>
          <w:trHeight w:val="300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2A181" w14:textId="77777777" w:rsidR="00124A7B" w:rsidRPr="00227D2B" w:rsidRDefault="00E637E3">
            <w:pPr>
              <w:snapToGrid w:val="0"/>
              <w:jc w:val="right"/>
              <w:textAlignment w:val="auto"/>
              <w:rPr>
                <w:rFonts w:ascii="標楷體" w:eastAsia="標楷體" w:hAnsi="標楷體"/>
                <w:szCs w:val="24"/>
              </w:rPr>
            </w:pPr>
            <w:r w:rsidRPr="00227D2B">
              <w:rPr>
                <w:rFonts w:ascii="標楷體" w:eastAsia="標楷體" w:hAnsi="標楷體"/>
                <w:szCs w:val="24"/>
              </w:rPr>
              <w:t>廠商編號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ACF5F" w14:textId="77777777" w:rsidR="00124A7B" w:rsidRPr="00227D2B" w:rsidRDefault="00E637E3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  <w:r w:rsidRPr="00227D2B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2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22C81" w14:textId="77777777" w:rsidR="00124A7B" w:rsidRPr="00227D2B" w:rsidRDefault="00E637E3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  <w:r w:rsidRPr="00227D2B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2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22529" w14:textId="77777777" w:rsidR="00124A7B" w:rsidRPr="00227D2B" w:rsidRDefault="00E637E3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  <w:r w:rsidRPr="00227D2B">
              <w:rPr>
                <w:rFonts w:ascii="標楷體" w:eastAsia="標楷體" w:hAnsi="標楷體"/>
                <w:sz w:val="22"/>
              </w:rPr>
              <w:t>3</w:t>
            </w:r>
          </w:p>
        </w:tc>
      </w:tr>
      <w:tr w:rsidR="00227D2B" w:rsidRPr="00227D2B" w14:paraId="5D7BDE57" w14:textId="77777777">
        <w:trPr>
          <w:trHeight w:val="163"/>
        </w:trPr>
        <w:tc>
          <w:tcPr>
            <w:tcW w:w="25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05C4A" w14:textId="77777777" w:rsidR="00124A7B" w:rsidRPr="00227D2B" w:rsidRDefault="00E637E3">
            <w:pPr>
              <w:snapToGrid w:val="0"/>
              <w:jc w:val="right"/>
              <w:textAlignment w:val="auto"/>
              <w:rPr>
                <w:rFonts w:ascii="標楷體" w:eastAsia="標楷體" w:hAnsi="標楷體"/>
                <w:szCs w:val="24"/>
              </w:rPr>
            </w:pPr>
            <w:r w:rsidRPr="00227D2B">
              <w:rPr>
                <w:rFonts w:ascii="標楷體" w:eastAsia="標楷體" w:hAnsi="標楷體"/>
                <w:szCs w:val="24"/>
              </w:rPr>
              <w:t>廠商名稱</w:t>
            </w:r>
          </w:p>
          <w:p w14:paraId="5201821C" w14:textId="77777777" w:rsidR="00124A7B" w:rsidRPr="00227D2B" w:rsidRDefault="00E637E3">
            <w:pPr>
              <w:snapToGrid w:val="0"/>
              <w:textAlignment w:val="auto"/>
              <w:rPr>
                <w:rFonts w:ascii="標楷體" w:eastAsia="標楷體" w:hAnsi="標楷體"/>
                <w:szCs w:val="24"/>
              </w:rPr>
            </w:pPr>
            <w:r w:rsidRPr="00227D2B">
              <w:rPr>
                <w:rFonts w:ascii="標楷體" w:eastAsia="標楷體" w:hAnsi="標楷體"/>
                <w:szCs w:val="24"/>
              </w:rPr>
              <w:t>評選委員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9567F" w14:textId="77777777" w:rsidR="00124A7B" w:rsidRPr="00227D2B" w:rsidRDefault="00124A7B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8164F" w14:textId="77777777" w:rsidR="00124A7B" w:rsidRPr="00227D2B" w:rsidRDefault="00124A7B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CBC2C" w14:textId="77777777" w:rsidR="00124A7B" w:rsidRPr="00227D2B" w:rsidRDefault="00124A7B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</w:tr>
      <w:tr w:rsidR="00227D2B" w:rsidRPr="00227D2B" w14:paraId="4246054A" w14:textId="77777777">
        <w:trPr>
          <w:trHeight w:val="39"/>
        </w:trPr>
        <w:tc>
          <w:tcPr>
            <w:tcW w:w="25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DA132" w14:textId="77777777" w:rsidR="00124A7B" w:rsidRPr="00227D2B" w:rsidRDefault="00124A7B">
            <w:pPr>
              <w:snapToGrid w:val="0"/>
              <w:jc w:val="right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DE317" w14:textId="77777777" w:rsidR="00124A7B" w:rsidRPr="00227D2B" w:rsidRDefault="00E637E3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 w:val="18"/>
              </w:rPr>
            </w:pPr>
            <w:r w:rsidRPr="00227D2B">
              <w:rPr>
                <w:rFonts w:ascii="標楷體" w:eastAsia="標楷體" w:hAnsi="標楷體"/>
                <w:sz w:val="18"/>
              </w:rPr>
              <w:t>得分加總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DC0CC" w14:textId="77777777" w:rsidR="00124A7B" w:rsidRPr="00227D2B" w:rsidRDefault="00E637E3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 w:val="18"/>
              </w:rPr>
            </w:pPr>
            <w:r w:rsidRPr="00227D2B">
              <w:rPr>
                <w:rFonts w:ascii="標楷體" w:eastAsia="標楷體" w:hAnsi="標楷體"/>
                <w:sz w:val="18"/>
              </w:rPr>
              <w:t>序位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A2AF9" w14:textId="77777777" w:rsidR="00124A7B" w:rsidRPr="00227D2B" w:rsidRDefault="00E637E3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 w:val="18"/>
              </w:rPr>
            </w:pPr>
            <w:r w:rsidRPr="00227D2B">
              <w:rPr>
                <w:rFonts w:ascii="標楷體" w:eastAsia="標楷體" w:hAnsi="標楷體"/>
                <w:sz w:val="18"/>
              </w:rPr>
              <w:t>得分加總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F7CA2" w14:textId="77777777" w:rsidR="00124A7B" w:rsidRPr="00227D2B" w:rsidRDefault="00E637E3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 w:val="18"/>
              </w:rPr>
            </w:pPr>
            <w:r w:rsidRPr="00227D2B">
              <w:rPr>
                <w:rFonts w:ascii="標楷體" w:eastAsia="標楷體" w:hAnsi="標楷體"/>
                <w:sz w:val="18"/>
              </w:rPr>
              <w:t>序位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D1517" w14:textId="77777777" w:rsidR="00124A7B" w:rsidRPr="00227D2B" w:rsidRDefault="00E637E3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 w:val="18"/>
              </w:rPr>
            </w:pPr>
            <w:r w:rsidRPr="00227D2B">
              <w:rPr>
                <w:rFonts w:ascii="標楷體" w:eastAsia="標楷體" w:hAnsi="標楷體"/>
                <w:sz w:val="18"/>
              </w:rPr>
              <w:t>得分加總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EDCB6" w14:textId="77777777" w:rsidR="00124A7B" w:rsidRPr="00227D2B" w:rsidRDefault="00E637E3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 w:val="18"/>
              </w:rPr>
            </w:pPr>
            <w:r w:rsidRPr="00227D2B">
              <w:rPr>
                <w:rFonts w:ascii="標楷體" w:eastAsia="標楷體" w:hAnsi="標楷體"/>
                <w:sz w:val="18"/>
              </w:rPr>
              <w:t>序位</w:t>
            </w:r>
          </w:p>
        </w:tc>
      </w:tr>
      <w:tr w:rsidR="00227D2B" w:rsidRPr="00227D2B" w14:paraId="17B0F4DF" w14:textId="77777777">
        <w:trPr>
          <w:trHeight w:val="300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5B330" w14:textId="77777777" w:rsidR="00124A7B" w:rsidRPr="00227D2B" w:rsidRDefault="00E637E3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227D2B">
              <w:rPr>
                <w:rFonts w:ascii="標楷體" w:eastAsia="標楷體" w:hAnsi="標楷體"/>
                <w:szCs w:val="24"/>
              </w:rPr>
              <w:t>A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800F7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9FD58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8C4F4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89005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9DF51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8F58E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</w:tr>
      <w:tr w:rsidR="00227D2B" w:rsidRPr="00227D2B" w14:paraId="602CA08B" w14:textId="77777777">
        <w:trPr>
          <w:trHeight w:val="315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ECFE5" w14:textId="77777777" w:rsidR="00124A7B" w:rsidRPr="00227D2B" w:rsidRDefault="00E637E3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227D2B">
              <w:rPr>
                <w:rFonts w:ascii="標楷體" w:eastAsia="標楷體" w:hAnsi="標楷體"/>
                <w:szCs w:val="24"/>
              </w:rPr>
              <w:t>B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A8FEF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09485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EA435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E62B0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CE72F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DC99E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</w:tr>
      <w:tr w:rsidR="00227D2B" w:rsidRPr="00227D2B" w14:paraId="63CDBC4B" w14:textId="77777777">
        <w:trPr>
          <w:trHeight w:val="300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7CEC9" w14:textId="77777777" w:rsidR="00124A7B" w:rsidRPr="00227D2B" w:rsidRDefault="00E637E3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227D2B">
              <w:rPr>
                <w:rFonts w:ascii="標楷體" w:eastAsia="標楷體" w:hAnsi="標楷體"/>
                <w:szCs w:val="24"/>
              </w:rPr>
              <w:t>C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4CA23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B87BD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3547E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D6947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C73E1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64339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</w:tr>
      <w:tr w:rsidR="00227D2B" w:rsidRPr="00227D2B" w14:paraId="63F8D173" w14:textId="77777777">
        <w:trPr>
          <w:trHeight w:val="315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D7A3C" w14:textId="77777777" w:rsidR="00124A7B" w:rsidRPr="00227D2B" w:rsidRDefault="00E637E3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227D2B">
              <w:rPr>
                <w:rFonts w:ascii="標楷體" w:eastAsia="標楷體" w:hAnsi="標楷體"/>
                <w:szCs w:val="24"/>
              </w:rPr>
              <w:t>D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74CB5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6675D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829AE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402AE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79A76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D8520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</w:tr>
      <w:tr w:rsidR="00227D2B" w:rsidRPr="00227D2B" w14:paraId="72ADBD22" w14:textId="77777777">
        <w:trPr>
          <w:trHeight w:val="300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804CA" w14:textId="77777777" w:rsidR="00124A7B" w:rsidRPr="00227D2B" w:rsidRDefault="00E637E3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227D2B">
              <w:rPr>
                <w:rFonts w:ascii="標楷體" w:eastAsia="標楷體" w:hAnsi="標楷體"/>
                <w:szCs w:val="24"/>
              </w:rPr>
              <w:t>E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C9553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93FC2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FCE91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46964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BFD91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B6E27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</w:tr>
      <w:tr w:rsidR="00227D2B" w:rsidRPr="00227D2B" w14:paraId="20983F9D" w14:textId="77777777">
        <w:trPr>
          <w:trHeight w:val="315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DC1EF" w14:textId="77777777" w:rsidR="00124A7B" w:rsidRPr="00227D2B" w:rsidRDefault="00E637E3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227D2B">
              <w:rPr>
                <w:rFonts w:ascii="標楷體" w:eastAsia="標楷體" w:hAnsi="標楷體"/>
                <w:szCs w:val="24"/>
              </w:rPr>
              <w:t>廠商標價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5959C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96CD1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0848A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96A4B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F6FA6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B1A2E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</w:tr>
      <w:tr w:rsidR="00227D2B" w:rsidRPr="00227D2B" w14:paraId="6BB37234" w14:textId="77777777">
        <w:trPr>
          <w:trHeight w:val="300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D28E7" w14:textId="77777777" w:rsidR="00124A7B" w:rsidRPr="00227D2B" w:rsidRDefault="00E637E3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227D2B">
              <w:rPr>
                <w:rFonts w:ascii="標楷體" w:eastAsia="標楷體" w:hAnsi="標楷體"/>
                <w:szCs w:val="24"/>
              </w:rPr>
              <w:t>總評分/平均總評分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6E89A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64F1D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5C5FB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8FBBB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E3510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671AA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</w:tr>
      <w:tr w:rsidR="00227D2B" w:rsidRPr="00227D2B" w14:paraId="54752312" w14:textId="77777777">
        <w:trPr>
          <w:trHeight w:val="315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120DC" w14:textId="77777777" w:rsidR="00124A7B" w:rsidRPr="00227D2B" w:rsidRDefault="00E637E3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227D2B">
              <w:rPr>
                <w:rFonts w:ascii="標楷體" w:eastAsia="標楷體" w:hAnsi="標楷體"/>
                <w:szCs w:val="24"/>
              </w:rPr>
              <w:t>序位和(序位合計)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68E63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1261B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FD836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679DE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E0302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6108A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</w:tr>
      <w:tr w:rsidR="00227D2B" w:rsidRPr="00227D2B" w14:paraId="1A7072E8" w14:textId="77777777">
        <w:trPr>
          <w:trHeight w:val="300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F586F" w14:textId="77777777" w:rsidR="00124A7B" w:rsidRPr="00227D2B" w:rsidRDefault="00E637E3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227D2B">
              <w:rPr>
                <w:rFonts w:ascii="標楷體" w:eastAsia="標楷體" w:hAnsi="標楷體"/>
                <w:szCs w:val="24"/>
              </w:rPr>
              <w:t>序位名次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06D92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84C50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45D79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2BE94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60283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B581F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</w:tr>
      <w:tr w:rsidR="00227D2B" w:rsidRPr="00227D2B" w14:paraId="2CFB5719" w14:textId="77777777">
        <w:trPr>
          <w:trHeight w:val="615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4F95B" w14:textId="77777777" w:rsidR="00124A7B" w:rsidRPr="00227D2B" w:rsidRDefault="00E637E3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227D2B">
              <w:rPr>
                <w:rFonts w:ascii="標楷體" w:eastAsia="標楷體" w:hAnsi="標楷體"/>
                <w:szCs w:val="24"/>
              </w:rPr>
              <w:t>合格(平均總評分在75分以上)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F1869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853C0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1E442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EAD51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BC122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D24D9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</w:tr>
      <w:tr w:rsidR="00227D2B" w:rsidRPr="00227D2B" w14:paraId="7654E807" w14:textId="77777777">
        <w:trPr>
          <w:trHeight w:val="315"/>
        </w:trPr>
        <w:tc>
          <w:tcPr>
            <w:tcW w:w="114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931C0" w14:textId="77777777" w:rsidR="00124A7B" w:rsidRPr="00227D2B" w:rsidRDefault="00E637E3">
            <w:pPr>
              <w:snapToGrid w:val="0"/>
              <w:textAlignment w:val="auto"/>
              <w:rPr>
                <w:rFonts w:ascii="標楷體" w:eastAsia="標楷體" w:hAnsi="標楷體"/>
              </w:rPr>
            </w:pPr>
            <w:r w:rsidRPr="00227D2B">
              <w:rPr>
                <w:rFonts w:ascii="標楷體" w:eastAsia="標楷體" w:hAnsi="標楷體"/>
              </w:rPr>
              <w:t>全部評選委員</w:t>
            </w:r>
          </w:p>
        </w:tc>
        <w:tc>
          <w:tcPr>
            <w:tcW w:w="14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65A28" w14:textId="77777777" w:rsidR="00124A7B" w:rsidRPr="00227D2B" w:rsidRDefault="00E637E3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 w:rsidRPr="00227D2B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0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D8E57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A8954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340BF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7A213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17FB5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CFD34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A5B14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</w:tr>
      <w:tr w:rsidR="00227D2B" w:rsidRPr="00227D2B" w14:paraId="0BF9ABB5" w14:textId="77777777">
        <w:trPr>
          <w:trHeight w:val="330"/>
        </w:trPr>
        <w:tc>
          <w:tcPr>
            <w:tcW w:w="114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6459C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94F42" w14:textId="77777777" w:rsidR="00124A7B" w:rsidRPr="00227D2B" w:rsidRDefault="00E637E3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 w:rsidRPr="00227D2B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26BCD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E3C43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AB74D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6BA18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E229B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25FC3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0924F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</w:tr>
      <w:tr w:rsidR="00227D2B" w:rsidRPr="00227D2B" w14:paraId="44E7C801" w14:textId="77777777">
        <w:trPr>
          <w:trHeight w:val="300"/>
        </w:trPr>
        <w:tc>
          <w:tcPr>
            <w:tcW w:w="114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CEB6A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FFEE0" w14:textId="77777777" w:rsidR="00124A7B" w:rsidRPr="00227D2B" w:rsidRDefault="00E637E3">
            <w:pPr>
              <w:snapToGrid w:val="0"/>
              <w:jc w:val="center"/>
              <w:textAlignment w:val="auto"/>
              <w:rPr>
                <w:rFonts w:ascii="標楷體" w:eastAsia="標楷體" w:hAnsi="標楷體"/>
                <w:sz w:val="22"/>
              </w:rPr>
            </w:pPr>
            <w:r w:rsidRPr="00227D2B">
              <w:rPr>
                <w:rFonts w:ascii="標楷體" w:eastAsia="標楷體" w:hAnsi="標楷體"/>
                <w:sz w:val="22"/>
              </w:rPr>
              <w:t>出席或缺席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1A826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C8C4D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F3F4A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BC123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D51F4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DC964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3F3AB" w14:textId="77777777" w:rsidR="00124A7B" w:rsidRPr="00227D2B" w:rsidRDefault="00124A7B">
            <w:pPr>
              <w:snapToGrid w:val="0"/>
              <w:textAlignment w:val="auto"/>
              <w:rPr>
                <w:rFonts w:ascii="標楷體" w:eastAsia="標楷體" w:hAnsi="標楷體"/>
                <w:sz w:val="22"/>
              </w:rPr>
            </w:pPr>
          </w:p>
        </w:tc>
      </w:tr>
      <w:tr w:rsidR="00227D2B" w:rsidRPr="00227D2B" w14:paraId="2CA94ECA" w14:textId="77777777">
        <w:trPr>
          <w:trHeight w:val="2256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0A2E3" w14:textId="77777777" w:rsidR="00124A7B" w:rsidRPr="00227D2B" w:rsidRDefault="00E637E3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 w:rsidRPr="00227D2B">
              <w:rPr>
                <w:rFonts w:ascii="標楷體" w:eastAsia="標楷體" w:hAnsi="標楷體"/>
              </w:rPr>
              <w:t>其他記事</w:t>
            </w:r>
          </w:p>
        </w:tc>
        <w:tc>
          <w:tcPr>
            <w:tcW w:w="63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58DBF" w14:textId="77777777" w:rsidR="00124A7B" w:rsidRPr="00227D2B" w:rsidRDefault="00E637E3">
            <w:pPr>
              <w:snapToGrid w:val="0"/>
              <w:jc w:val="both"/>
              <w:textAlignment w:val="auto"/>
              <w:rPr>
                <w:rFonts w:ascii="標楷體" w:eastAsia="標楷體" w:hAnsi="標楷體"/>
              </w:rPr>
            </w:pPr>
            <w:r w:rsidRPr="00227D2B">
              <w:rPr>
                <w:rFonts w:ascii="標楷體" w:eastAsia="標楷體" w:hAnsi="標楷體"/>
              </w:rPr>
              <w:t>1.評選委員是否先經逐項討論後，再予評分：</w:t>
            </w:r>
          </w:p>
          <w:p w14:paraId="063BA378" w14:textId="77777777" w:rsidR="00124A7B" w:rsidRPr="00227D2B" w:rsidRDefault="00E637E3">
            <w:pPr>
              <w:snapToGrid w:val="0"/>
              <w:jc w:val="both"/>
              <w:textAlignment w:val="auto"/>
              <w:rPr>
                <w:rFonts w:ascii="標楷體" w:eastAsia="標楷體" w:hAnsi="標楷體"/>
              </w:rPr>
            </w:pPr>
            <w:r w:rsidRPr="00227D2B">
              <w:rPr>
                <w:rFonts w:ascii="標楷體" w:eastAsia="標楷體" w:hAnsi="標楷體"/>
              </w:rPr>
              <w:t>2.不同委員評選結果有無明顯差異情形(如有，其情形及處置)：</w:t>
            </w:r>
          </w:p>
          <w:p w14:paraId="38FAE638" w14:textId="77777777" w:rsidR="00124A7B" w:rsidRPr="00227D2B" w:rsidRDefault="00E637E3">
            <w:pPr>
              <w:snapToGrid w:val="0"/>
              <w:jc w:val="both"/>
              <w:textAlignment w:val="auto"/>
              <w:rPr>
                <w:rFonts w:ascii="標楷體" w:eastAsia="標楷體" w:hAnsi="標楷體"/>
              </w:rPr>
            </w:pPr>
            <w:r w:rsidRPr="00227D2B">
              <w:rPr>
                <w:rFonts w:ascii="標楷體" w:eastAsia="標楷體" w:hAnsi="標楷體"/>
              </w:rPr>
              <w:t>3.評選委員會或個別委員評選結果與工作小組初審意見有無差異情形(如有，其情形及處置)：</w:t>
            </w:r>
          </w:p>
          <w:p w14:paraId="0C5ED1F5" w14:textId="77777777" w:rsidR="00124A7B" w:rsidRPr="00227D2B" w:rsidRDefault="00E637E3">
            <w:pPr>
              <w:snapToGrid w:val="0"/>
              <w:jc w:val="both"/>
              <w:textAlignment w:val="auto"/>
              <w:rPr>
                <w:rFonts w:ascii="標楷體" w:eastAsia="標楷體" w:hAnsi="標楷體"/>
              </w:rPr>
            </w:pPr>
            <w:r w:rsidRPr="00227D2B">
              <w:rPr>
                <w:rFonts w:ascii="標楷體" w:eastAsia="標楷體" w:hAnsi="標楷體"/>
              </w:rPr>
              <w:t>4.評選結果於簽報機關首長或其授權人員核定後生效。</w:t>
            </w:r>
          </w:p>
        </w:tc>
      </w:tr>
      <w:tr w:rsidR="00227D2B" w:rsidRPr="00227D2B" w14:paraId="203D1022" w14:textId="77777777">
        <w:trPr>
          <w:trHeight w:val="2569"/>
        </w:trPr>
        <w:tc>
          <w:tcPr>
            <w:tcW w:w="8931" w:type="dxa"/>
            <w:gridSpan w:val="1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06A5B" w14:textId="77777777" w:rsidR="00124A7B" w:rsidRPr="00227D2B" w:rsidRDefault="00E637E3">
            <w:pPr>
              <w:snapToGrid w:val="0"/>
              <w:textAlignment w:val="auto"/>
              <w:rPr>
                <w:rFonts w:ascii="標楷體" w:eastAsia="標楷體" w:hAnsi="標楷體"/>
                <w:b/>
                <w:sz w:val="22"/>
              </w:rPr>
            </w:pPr>
            <w:r w:rsidRPr="00227D2B">
              <w:rPr>
                <w:rFonts w:ascii="標楷體" w:eastAsia="標楷體" w:hAnsi="標楷體"/>
                <w:b/>
                <w:sz w:val="22"/>
              </w:rPr>
              <w:t>出席評選委員簽名：</w:t>
            </w:r>
          </w:p>
        </w:tc>
      </w:tr>
    </w:tbl>
    <w:p w14:paraId="61A0B18E" w14:textId="77777777" w:rsidR="00124A7B" w:rsidRPr="00227D2B" w:rsidRDefault="00124A7B">
      <w:pPr>
        <w:snapToGrid w:val="0"/>
        <w:spacing w:before="183" w:after="183"/>
        <w:rPr>
          <w:rFonts w:ascii="標楷體" w:eastAsia="標楷體" w:hAnsi="標楷體"/>
        </w:rPr>
      </w:pPr>
    </w:p>
    <w:p w14:paraId="6CC8802E" w14:textId="77777777" w:rsidR="00124A7B" w:rsidRPr="00227D2B" w:rsidRDefault="00124A7B">
      <w:pPr>
        <w:snapToGrid w:val="0"/>
        <w:spacing w:before="183" w:after="183"/>
        <w:rPr>
          <w:rFonts w:ascii="標楷體" w:eastAsia="標楷體" w:hAnsi="標楷體"/>
        </w:rPr>
      </w:pPr>
    </w:p>
    <w:p w14:paraId="62EA5E9E" w14:textId="77777777" w:rsidR="00124A7B" w:rsidRPr="00227D2B" w:rsidRDefault="00124A7B">
      <w:pPr>
        <w:snapToGrid w:val="0"/>
        <w:spacing w:before="183" w:after="183"/>
        <w:rPr>
          <w:rFonts w:ascii="標楷體" w:eastAsia="標楷體" w:hAnsi="標楷體"/>
        </w:rPr>
      </w:pPr>
    </w:p>
    <w:p w14:paraId="543CC19E" w14:textId="77777777" w:rsidR="00124A7B" w:rsidRPr="00227D2B" w:rsidRDefault="00124A7B">
      <w:pPr>
        <w:snapToGrid w:val="0"/>
        <w:spacing w:before="183" w:after="183"/>
        <w:rPr>
          <w:rFonts w:ascii="標楷體" w:eastAsia="標楷體" w:hAnsi="標楷體"/>
        </w:rPr>
      </w:pPr>
    </w:p>
    <w:p w14:paraId="39DCABA8" w14:textId="77777777" w:rsidR="00124A7B" w:rsidRPr="00227D2B" w:rsidRDefault="00124A7B">
      <w:pPr>
        <w:snapToGrid w:val="0"/>
        <w:spacing w:before="183" w:after="183"/>
        <w:rPr>
          <w:rFonts w:ascii="標楷體" w:eastAsia="標楷體" w:hAnsi="標楷體"/>
        </w:rPr>
      </w:pPr>
    </w:p>
    <w:p w14:paraId="61B21D07" w14:textId="77777777" w:rsidR="00124A7B" w:rsidRPr="00227D2B" w:rsidRDefault="00E637E3">
      <w:pPr>
        <w:snapToGrid w:val="0"/>
        <w:spacing w:before="183" w:after="183"/>
        <w:jc w:val="center"/>
        <w:rPr>
          <w:rFonts w:ascii="標楷體" w:eastAsia="標楷體" w:hAnsi="標楷體"/>
          <w:sz w:val="28"/>
        </w:rPr>
      </w:pPr>
      <w:r w:rsidRPr="00227D2B">
        <w:rPr>
          <w:rFonts w:ascii="標楷體" w:eastAsia="標楷體" w:hAnsi="標楷體"/>
          <w:sz w:val="28"/>
        </w:rPr>
        <w:lastRenderedPageBreak/>
        <w:t>桃園市政府都市發展局</w:t>
      </w:r>
    </w:p>
    <w:p w14:paraId="09107CF3" w14:textId="61ED7C4F" w:rsidR="00124A7B" w:rsidRPr="00227D2B" w:rsidRDefault="00D67051">
      <w:pPr>
        <w:snapToGrid w:val="0"/>
        <w:spacing w:before="183" w:after="183"/>
        <w:jc w:val="center"/>
        <w:rPr>
          <w:rFonts w:ascii="標楷體" w:eastAsia="標楷體" w:hAnsi="標楷體"/>
          <w:sz w:val="28"/>
        </w:rPr>
      </w:pPr>
      <w:r w:rsidRPr="00227D2B">
        <w:rPr>
          <w:rFonts w:ascii="標楷體" w:eastAsia="標楷體" w:hAnsi="標楷體"/>
          <w:sz w:val="28"/>
        </w:rPr>
        <w:t>桃園市桃園區虎頭山創新園區</w:t>
      </w:r>
      <w:r w:rsidR="008943B4">
        <w:rPr>
          <w:rFonts w:ascii="標楷體" w:eastAsia="標楷體" w:hAnsi="標楷體" w:hint="eastAsia"/>
          <w:sz w:val="28"/>
        </w:rPr>
        <w:t>B06商業空間</w:t>
      </w:r>
      <w:r w:rsidRPr="00227D2B">
        <w:rPr>
          <w:rFonts w:ascii="標楷體" w:eastAsia="標楷體" w:hAnsi="標楷體" w:hint="eastAsia"/>
          <w:sz w:val="28"/>
        </w:rPr>
        <w:t>公開標租</w:t>
      </w:r>
      <w:r w:rsidR="00E637E3" w:rsidRPr="00227D2B">
        <w:rPr>
          <w:rFonts w:ascii="標楷體" w:eastAsia="標楷體" w:hAnsi="標楷體"/>
          <w:sz w:val="28"/>
        </w:rPr>
        <w:t>案</w:t>
      </w:r>
    </w:p>
    <w:p w14:paraId="58961CDD" w14:textId="77777777" w:rsidR="00124A7B" w:rsidRPr="00227D2B" w:rsidRDefault="00E637E3">
      <w:pPr>
        <w:snapToGrid w:val="0"/>
        <w:spacing w:before="183" w:after="183"/>
        <w:jc w:val="center"/>
        <w:rPr>
          <w:rFonts w:ascii="標楷體" w:eastAsia="標楷體" w:hAnsi="標楷體"/>
          <w:sz w:val="28"/>
        </w:rPr>
      </w:pPr>
      <w:r w:rsidRPr="00227D2B">
        <w:rPr>
          <w:rFonts w:ascii="標楷體" w:eastAsia="標楷體" w:hAnsi="標楷體"/>
          <w:sz w:val="28"/>
        </w:rPr>
        <w:t>評選委員評選評分表(序位法)</w:t>
      </w:r>
    </w:p>
    <w:tbl>
      <w:tblPr>
        <w:tblW w:w="4747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0"/>
        <w:gridCol w:w="654"/>
        <w:gridCol w:w="1207"/>
        <w:gridCol w:w="1253"/>
        <w:gridCol w:w="1249"/>
        <w:gridCol w:w="2633"/>
      </w:tblGrid>
      <w:tr w:rsidR="00227D2B" w:rsidRPr="00227D2B" w14:paraId="2087F17F" w14:textId="77777777">
        <w:trPr>
          <w:cantSplit/>
          <w:trHeight w:val="535"/>
          <w:jc w:val="center"/>
        </w:trPr>
        <w:tc>
          <w:tcPr>
            <w:tcW w:w="29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DE3908" w14:textId="77777777" w:rsidR="00124A7B" w:rsidRPr="00227D2B" w:rsidRDefault="00E637E3">
            <w:pPr>
              <w:snapToGrid w:val="0"/>
              <w:rPr>
                <w:rFonts w:ascii="標楷體" w:eastAsia="標楷體" w:hAnsi="標楷體"/>
              </w:rPr>
            </w:pPr>
            <w:r w:rsidRPr="00227D2B">
              <w:rPr>
                <w:rFonts w:ascii="標楷體" w:eastAsia="標楷體" w:hAnsi="標楷體"/>
              </w:rPr>
              <w:t>評選委員編號：</w:t>
            </w:r>
          </w:p>
        </w:tc>
        <w:tc>
          <w:tcPr>
            <w:tcW w:w="6967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3EAD38" w14:textId="4CF55859" w:rsidR="00124A7B" w:rsidRPr="00227D2B" w:rsidRDefault="00E637E3">
            <w:pPr>
              <w:snapToGrid w:val="0"/>
              <w:spacing w:line="320" w:lineRule="exact"/>
              <w:jc w:val="right"/>
            </w:pPr>
            <w:r w:rsidRPr="00227D2B">
              <w:rPr>
                <w:rFonts w:ascii="標楷體" w:eastAsia="標楷體" w:hAnsi="標楷體"/>
              </w:rPr>
              <w:t>日期：11</w:t>
            </w:r>
            <w:r w:rsidR="00737694">
              <w:rPr>
                <w:rFonts w:ascii="標楷體" w:eastAsia="標楷體" w:hAnsi="標楷體" w:hint="eastAsia"/>
              </w:rPr>
              <w:t>1</w:t>
            </w:r>
            <w:r w:rsidRPr="00227D2B">
              <w:rPr>
                <w:rFonts w:ascii="標楷體" w:eastAsia="標楷體" w:hAnsi="標楷體"/>
              </w:rPr>
              <w:t>年　月　日</w:t>
            </w:r>
          </w:p>
        </w:tc>
      </w:tr>
      <w:tr w:rsidR="00227D2B" w:rsidRPr="00227D2B" w14:paraId="5C647993" w14:textId="77777777">
        <w:trPr>
          <w:cantSplit/>
          <w:trHeight w:val="168"/>
          <w:jc w:val="center"/>
        </w:trPr>
        <w:tc>
          <w:tcPr>
            <w:tcW w:w="29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4858CD" w14:textId="77777777" w:rsidR="00124A7B" w:rsidRPr="00227D2B" w:rsidRDefault="00E637E3">
            <w:pPr>
              <w:snapToGrid w:val="0"/>
              <w:spacing w:line="360" w:lineRule="exact"/>
              <w:jc w:val="center"/>
            </w:pPr>
            <w:r w:rsidRPr="00227D2B">
              <w:rPr>
                <w:rFonts w:eastAsia="標楷體"/>
                <w:sz w:val="32"/>
                <w:szCs w:val="32"/>
              </w:rPr>
              <w:t>評</w:t>
            </w:r>
            <w:r w:rsidRPr="00227D2B">
              <w:rPr>
                <w:rFonts w:eastAsia="標楷體"/>
                <w:sz w:val="32"/>
                <w:szCs w:val="32"/>
              </w:rPr>
              <w:t xml:space="preserve">    </w:t>
            </w:r>
            <w:r w:rsidRPr="00227D2B">
              <w:rPr>
                <w:rFonts w:eastAsia="標楷體"/>
                <w:sz w:val="32"/>
                <w:szCs w:val="32"/>
              </w:rPr>
              <w:t>選</w:t>
            </w:r>
            <w:r w:rsidRPr="00227D2B">
              <w:rPr>
                <w:rFonts w:eastAsia="標楷體"/>
                <w:sz w:val="32"/>
                <w:szCs w:val="32"/>
              </w:rPr>
              <w:t xml:space="preserve">    </w:t>
            </w:r>
            <w:r w:rsidRPr="00227D2B">
              <w:rPr>
                <w:rFonts w:eastAsia="標楷體"/>
                <w:sz w:val="32"/>
                <w:szCs w:val="32"/>
              </w:rPr>
              <w:t>項</w:t>
            </w:r>
            <w:r w:rsidRPr="00227D2B">
              <w:rPr>
                <w:rFonts w:eastAsia="標楷體"/>
                <w:sz w:val="32"/>
                <w:szCs w:val="32"/>
              </w:rPr>
              <w:t xml:space="preserve">    </w:t>
            </w:r>
            <w:r w:rsidRPr="00227D2B">
              <w:rPr>
                <w:rFonts w:eastAsia="標楷體"/>
                <w:sz w:val="32"/>
                <w:szCs w:val="32"/>
              </w:rPr>
              <w:t>目</w:t>
            </w:r>
          </w:p>
        </w:tc>
        <w:tc>
          <w:tcPr>
            <w:tcW w:w="65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8364C5" w14:textId="77777777" w:rsidR="00124A7B" w:rsidRPr="00227D2B" w:rsidRDefault="00E637E3">
            <w:pPr>
              <w:snapToGrid w:val="0"/>
              <w:spacing w:line="360" w:lineRule="exact"/>
              <w:jc w:val="center"/>
            </w:pPr>
            <w:r w:rsidRPr="00227D2B">
              <w:rPr>
                <w:rFonts w:eastAsia="標楷體"/>
              </w:rPr>
              <w:t>配分</w:t>
            </w:r>
          </w:p>
        </w:tc>
        <w:tc>
          <w:tcPr>
            <w:tcW w:w="369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BDD187" w14:textId="77777777" w:rsidR="00124A7B" w:rsidRPr="00227D2B" w:rsidRDefault="00E637E3">
            <w:pPr>
              <w:snapToGrid w:val="0"/>
              <w:spacing w:line="320" w:lineRule="exact"/>
              <w:jc w:val="center"/>
            </w:pPr>
            <w:r w:rsidRPr="00227D2B">
              <w:rPr>
                <w:rFonts w:eastAsia="標楷體"/>
              </w:rPr>
              <w:t>廠商編號及得分</w:t>
            </w:r>
          </w:p>
        </w:tc>
        <w:tc>
          <w:tcPr>
            <w:tcW w:w="26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1BFA77" w14:textId="77777777" w:rsidR="00124A7B" w:rsidRPr="00227D2B" w:rsidRDefault="00E637E3">
            <w:pPr>
              <w:snapToGrid w:val="0"/>
              <w:spacing w:line="320" w:lineRule="exact"/>
              <w:jc w:val="center"/>
            </w:pPr>
            <w:r w:rsidRPr="00227D2B">
              <w:rPr>
                <w:rFonts w:eastAsia="標楷體"/>
              </w:rPr>
              <w:t>評選意見</w:t>
            </w:r>
            <w:r w:rsidRPr="00227D2B">
              <w:rPr>
                <w:rFonts w:eastAsia="標楷體"/>
              </w:rPr>
              <w:t>(</w:t>
            </w:r>
            <w:r w:rsidRPr="00227D2B">
              <w:rPr>
                <w:rFonts w:eastAsia="標楷體"/>
              </w:rPr>
              <w:t>優缺點</w:t>
            </w:r>
            <w:r w:rsidRPr="00227D2B">
              <w:rPr>
                <w:rFonts w:eastAsia="標楷體"/>
              </w:rPr>
              <w:t>)</w:t>
            </w:r>
          </w:p>
        </w:tc>
      </w:tr>
      <w:tr w:rsidR="00227D2B" w:rsidRPr="00227D2B" w14:paraId="0AE3C593" w14:textId="77777777">
        <w:trPr>
          <w:cantSplit/>
          <w:trHeight w:val="299"/>
          <w:jc w:val="center"/>
        </w:trPr>
        <w:tc>
          <w:tcPr>
            <w:tcW w:w="292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98EE25" w14:textId="77777777" w:rsidR="00124A7B" w:rsidRPr="00227D2B" w:rsidRDefault="00124A7B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6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F4D0F1" w14:textId="77777777" w:rsidR="00124A7B" w:rsidRPr="00227D2B" w:rsidRDefault="00124A7B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007CAE" w14:textId="77777777" w:rsidR="00124A7B" w:rsidRPr="00227D2B" w:rsidRDefault="00E637E3">
            <w:pPr>
              <w:autoSpaceDE w:val="0"/>
              <w:snapToGrid w:val="0"/>
              <w:spacing w:line="280" w:lineRule="exact"/>
              <w:jc w:val="center"/>
            </w:pPr>
            <w:r w:rsidRPr="00227D2B">
              <w:rPr>
                <w:rFonts w:ascii="標楷體" w:eastAsia="標楷體" w:hAnsi="標楷體"/>
                <w:sz w:val="18"/>
                <w:szCs w:val="18"/>
              </w:rPr>
              <w:t>廠商</w:t>
            </w:r>
            <w:r w:rsidRPr="00227D2B">
              <w:rPr>
                <w:rFonts w:ascii="標楷體" w:eastAsia="標楷體" w:hAnsi="標楷體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BBCB7E" w14:textId="77777777" w:rsidR="00124A7B" w:rsidRPr="00227D2B" w:rsidRDefault="00E637E3">
            <w:pPr>
              <w:autoSpaceDE w:val="0"/>
              <w:snapToGrid w:val="0"/>
              <w:spacing w:line="280" w:lineRule="exact"/>
              <w:jc w:val="center"/>
            </w:pPr>
            <w:r w:rsidRPr="00227D2B">
              <w:rPr>
                <w:rFonts w:ascii="標楷體" w:eastAsia="標楷體" w:hAnsi="標楷體"/>
                <w:sz w:val="18"/>
                <w:szCs w:val="18"/>
              </w:rPr>
              <w:t>廠商</w:t>
            </w:r>
            <w:r w:rsidRPr="00227D2B">
              <w:rPr>
                <w:rFonts w:ascii="標楷體" w:eastAsia="標楷體" w:hAnsi="標楷體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7A8806" w14:textId="77777777" w:rsidR="00124A7B" w:rsidRPr="00227D2B" w:rsidRDefault="00E637E3">
            <w:pPr>
              <w:autoSpaceDE w:val="0"/>
              <w:snapToGrid w:val="0"/>
              <w:spacing w:line="280" w:lineRule="exact"/>
              <w:jc w:val="center"/>
            </w:pPr>
            <w:r w:rsidRPr="00227D2B">
              <w:rPr>
                <w:rFonts w:ascii="標楷體" w:eastAsia="標楷體" w:hAnsi="標楷體"/>
                <w:sz w:val="18"/>
                <w:szCs w:val="18"/>
              </w:rPr>
              <w:t>廠商</w:t>
            </w:r>
            <w:r w:rsidRPr="00227D2B">
              <w:rPr>
                <w:rFonts w:ascii="標楷體" w:eastAsia="標楷體" w:hAnsi="標楷體"/>
              </w:rPr>
              <w:t>3</w:t>
            </w:r>
          </w:p>
        </w:tc>
        <w:tc>
          <w:tcPr>
            <w:tcW w:w="262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C1338F" w14:textId="77777777" w:rsidR="00124A7B" w:rsidRPr="00227D2B" w:rsidRDefault="00124A7B">
            <w:pPr>
              <w:snapToGrid w:val="0"/>
              <w:spacing w:line="360" w:lineRule="exact"/>
              <w:rPr>
                <w:rFonts w:eastAsia="標楷體"/>
              </w:rPr>
            </w:pPr>
          </w:p>
        </w:tc>
      </w:tr>
      <w:tr w:rsidR="00227D2B" w:rsidRPr="00227D2B" w14:paraId="7BB4FED4" w14:textId="77777777">
        <w:trPr>
          <w:cantSplit/>
          <w:trHeight w:val="1043"/>
          <w:jc w:val="center"/>
        </w:trPr>
        <w:tc>
          <w:tcPr>
            <w:tcW w:w="2926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1F5CF6" w14:textId="77777777" w:rsidR="00124A7B" w:rsidRPr="00227D2B" w:rsidRDefault="00124A7B">
            <w:pPr>
              <w:autoSpaceDE w:val="0"/>
              <w:snapToGrid w:val="0"/>
              <w:spacing w:line="240" w:lineRule="atLeast"/>
              <w:jc w:val="both"/>
              <w:rPr>
                <w:rFonts w:eastAsia="標楷體"/>
                <w:kern w:val="0"/>
                <w:szCs w:val="24"/>
              </w:rPr>
            </w:pPr>
          </w:p>
          <w:p w14:paraId="513E2AEC" w14:textId="77777777" w:rsidR="00124A7B" w:rsidRPr="00227D2B" w:rsidRDefault="00E637E3">
            <w:pPr>
              <w:pStyle w:val="a9"/>
              <w:numPr>
                <w:ilvl w:val="0"/>
                <w:numId w:val="11"/>
              </w:numPr>
              <w:autoSpaceDE w:val="0"/>
              <w:snapToGrid w:val="0"/>
              <w:spacing w:line="240" w:lineRule="atLeast"/>
              <w:jc w:val="both"/>
              <w:rPr>
                <w:rFonts w:eastAsia="標楷體"/>
                <w:kern w:val="0"/>
                <w:szCs w:val="24"/>
              </w:rPr>
            </w:pPr>
            <w:r w:rsidRPr="00227D2B">
              <w:rPr>
                <w:rFonts w:eastAsia="標楷體"/>
                <w:kern w:val="0"/>
                <w:szCs w:val="24"/>
              </w:rPr>
              <w:t>投資計畫、內容及圖</w:t>
            </w:r>
            <w:r w:rsidRPr="00227D2B">
              <w:rPr>
                <w:rFonts w:eastAsia="標楷體"/>
                <w:kern w:val="0"/>
                <w:szCs w:val="24"/>
              </w:rPr>
              <w:t xml:space="preserve">  </w:t>
            </w:r>
          </w:p>
          <w:p w14:paraId="59018C9B" w14:textId="77777777" w:rsidR="00124A7B" w:rsidRPr="00227D2B" w:rsidRDefault="00E637E3">
            <w:pPr>
              <w:pStyle w:val="a9"/>
              <w:autoSpaceDE w:val="0"/>
              <w:snapToGrid w:val="0"/>
              <w:spacing w:line="240" w:lineRule="atLeast"/>
              <w:jc w:val="both"/>
              <w:rPr>
                <w:rFonts w:eastAsia="標楷體"/>
                <w:kern w:val="0"/>
                <w:szCs w:val="24"/>
              </w:rPr>
            </w:pPr>
            <w:r w:rsidRPr="00227D2B">
              <w:rPr>
                <w:rFonts w:eastAsia="標楷體"/>
                <w:kern w:val="0"/>
                <w:szCs w:val="24"/>
              </w:rPr>
              <w:t>說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7BED3A" w14:textId="77777777" w:rsidR="00124A7B" w:rsidRPr="00227D2B" w:rsidRDefault="00E637E3">
            <w:pPr>
              <w:autoSpaceDE w:val="0"/>
              <w:snapToGrid w:val="0"/>
              <w:spacing w:line="240" w:lineRule="atLeast"/>
              <w:jc w:val="center"/>
              <w:rPr>
                <w:rFonts w:ascii="Calibri" w:eastAsia="標楷體" w:hAnsi="Calibri" w:cs="Calibri"/>
                <w:szCs w:val="24"/>
              </w:rPr>
            </w:pPr>
            <w:r w:rsidRPr="00227D2B">
              <w:rPr>
                <w:rFonts w:ascii="Calibri" w:eastAsia="標楷體" w:hAnsi="Calibri" w:cs="Calibri"/>
                <w:szCs w:val="24"/>
              </w:rPr>
              <w:t>25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489885" w14:textId="77777777" w:rsidR="00124A7B" w:rsidRPr="00227D2B" w:rsidRDefault="00124A7B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1006FA" w14:textId="77777777" w:rsidR="00124A7B" w:rsidRPr="00227D2B" w:rsidRDefault="00124A7B">
            <w:pPr>
              <w:snapToGrid w:val="0"/>
              <w:spacing w:line="5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E8646F" w14:textId="77777777" w:rsidR="00124A7B" w:rsidRPr="00227D2B" w:rsidRDefault="00124A7B">
            <w:pPr>
              <w:snapToGrid w:val="0"/>
              <w:spacing w:line="5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1D855" w14:textId="77777777" w:rsidR="00124A7B" w:rsidRPr="00227D2B" w:rsidRDefault="00124A7B">
            <w:pPr>
              <w:snapToGrid w:val="0"/>
              <w:spacing w:line="500" w:lineRule="exact"/>
              <w:jc w:val="center"/>
              <w:rPr>
                <w:rFonts w:eastAsia="標楷體"/>
                <w:b/>
              </w:rPr>
            </w:pPr>
          </w:p>
        </w:tc>
      </w:tr>
      <w:tr w:rsidR="00227D2B" w:rsidRPr="00227D2B" w14:paraId="2E877950" w14:textId="77777777">
        <w:trPr>
          <w:cantSplit/>
          <w:trHeight w:val="1043"/>
          <w:jc w:val="center"/>
        </w:trPr>
        <w:tc>
          <w:tcPr>
            <w:tcW w:w="2926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A115EE" w14:textId="77777777" w:rsidR="00124A7B" w:rsidRPr="00227D2B" w:rsidRDefault="00124A7B">
            <w:pPr>
              <w:autoSpaceDE w:val="0"/>
              <w:snapToGrid w:val="0"/>
              <w:spacing w:line="240" w:lineRule="atLeast"/>
              <w:jc w:val="both"/>
              <w:rPr>
                <w:rFonts w:eastAsia="標楷體"/>
                <w:kern w:val="0"/>
                <w:szCs w:val="24"/>
              </w:rPr>
            </w:pPr>
          </w:p>
          <w:p w14:paraId="63D342AC" w14:textId="77777777" w:rsidR="00124A7B" w:rsidRPr="00227D2B" w:rsidRDefault="00E637E3">
            <w:pPr>
              <w:autoSpaceDE w:val="0"/>
              <w:snapToGrid w:val="0"/>
              <w:spacing w:line="240" w:lineRule="atLeast"/>
              <w:jc w:val="both"/>
            </w:pPr>
            <w:r w:rsidRPr="00227D2B">
              <w:rPr>
                <w:rFonts w:eastAsia="標楷體"/>
                <w:kern w:val="0"/>
                <w:szCs w:val="24"/>
              </w:rPr>
              <w:t>二、</w:t>
            </w:r>
            <w:r w:rsidRPr="00227D2B">
              <w:rPr>
                <w:rFonts w:eastAsia="標楷體"/>
                <w:szCs w:val="24"/>
              </w:rPr>
              <w:t>營運計畫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B199F3" w14:textId="77777777" w:rsidR="00124A7B" w:rsidRPr="00227D2B" w:rsidRDefault="00E637E3">
            <w:pPr>
              <w:autoSpaceDE w:val="0"/>
              <w:snapToGrid w:val="0"/>
              <w:spacing w:line="240" w:lineRule="atLeast"/>
              <w:jc w:val="center"/>
              <w:rPr>
                <w:rFonts w:ascii="Calibri" w:eastAsia="標楷體" w:hAnsi="Calibri" w:cs="Calibri"/>
                <w:szCs w:val="24"/>
              </w:rPr>
            </w:pPr>
            <w:r w:rsidRPr="00227D2B">
              <w:rPr>
                <w:rFonts w:ascii="Calibri" w:eastAsia="標楷體" w:hAnsi="Calibri" w:cs="Calibri"/>
                <w:szCs w:val="24"/>
              </w:rPr>
              <w:t>20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BD478" w14:textId="77777777" w:rsidR="00124A7B" w:rsidRPr="00227D2B" w:rsidRDefault="00124A7B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C2ED97" w14:textId="77777777" w:rsidR="00124A7B" w:rsidRPr="00227D2B" w:rsidRDefault="00124A7B">
            <w:pPr>
              <w:snapToGrid w:val="0"/>
              <w:spacing w:line="5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218635" w14:textId="77777777" w:rsidR="00124A7B" w:rsidRPr="00227D2B" w:rsidRDefault="00124A7B">
            <w:pPr>
              <w:snapToGrid w:val="0"/>
              <w:spacing w:line="5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267C9E" w14:textId="77777777" w:rsidR="00124A7B" w:rsidRPr="00227D2B" w:rsidRDefault="00124A7B">
            <w:pPr>
              <w:snapToGrid w:val="0"/>
              <w:spacing w:line="500" w:lineRule="exact"/>
              <w:jc w:val="center"/>
              <w:rPr>
                <w:rFonts w:eastAsia="標楷體"/>
                <w:b/>
              </w:rPr>
            </w:pPr>
          </w:p>
        </w:tc>
      </w:tr>
      <w:tr w:rsidR="00227D2B" w:rsidRPr="00227D2B" w14:paraId="3A04A8B9" w14:textId="77777777">
        <w:trPr>
          <w:cantSplit/>
          <w:trHeight w:val="1043"/>
          <w:jc w:val="center"/>
        </w:trPr>
        <w:tc>
          <w:tcPr>
            <w:tcW w:w="2926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45C995" w14:textId="77777777" w:rsidR="00124A7B" w:rsidRPr="00227D2B" w:rsidRDefault="00124A7B">
            <w:pPr>
              <w:autoSpaceDE w:val="0"/>
              <w:snapToGrid w:val="0"/>
              <w:spacing w:line="240" w:lineRule="atLeast"/>
              <w:jc w:val="both"/>
              <w:rPr>
                <w:rFonts w:eastAsia="標楷體"/>
                <w:kern w:val="0"/>
                <w:szCs w:val="24"/>
              </w:rPr>
            </w:pPr>
          </w:p>
          <w:p w14:paraId="76531299" w14:textId="77777777" w:rsidR="00124A7B" w:rsidRPr="00227D2B" w:rsidRDefault="00E637E3">
            <w:pPr>
              <w:autoSpaceDE w:val="0"/>
              <w:snapToGrid w:val="0"/>
              <w:spacing w:line="240" w:lineRule="atLeast"/>
              <w:jc w:val="both"/>
            </w:pPr>
            <w:r w:rsidRPr="00227D2B">
              <w:rPr>
                <w:rFonts w:eastAsia="標楷體"/>
                <w:kern w:val="0"/>
                <w:szCs w:val="24"/>
              </w:rPr>
              <w:t>三、</w:t>
            </w:r>
            <w:r w:rsidRPr="00227D2B">
              <w:rPr>
                <w:rFonts w:eastAsia="標楷體"/>
                <w:szCs w:val="24"/>
              </w:rPr>
              <w:t>租金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D5DA2" w14:textId="77777777" w:rsidR="00124A7B" w:rsidRPr="00227D2B" w:rsidRDefault="00E637E3">
            <w:pPr>
              <w:autoSpaceDE w:val="0"/>
              <w:snapToGrid w:val="0"/>
              <w:spacing w:line="240" w:lineRule="atLeast"/>
              <w:jc w:val="center"/>
              <w:rPr>
                <w:rFonts w:ascii="Calibri" w:eastAsia="標楷體" w:hAnsi="Calibri" w:cs="Calibri"/>
                <w:szCs w:val="24"/>
              </w:rPr>
            </w:pPr>
            <w:r w:rsidRPr="00227D2B">
              <w:rPr>
                <w:rFonts w:ascii="Calibri" w:eastAsia="標楷體" w:hAnsi="Calibri" w:cs="Calibri"/>
                <w:szCs w:val="24"/>
              </w:rPr>
              <w:t>20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FDF8F9" w14:textId="77777777" w:rsidR="00124A7B" w:rsidRPr="00227D2B" w:rsidRDefault="00124A7B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4562AA" w14:textId="77777777" w:rsidR="00124A7B" w:rsidRPr="00227D2B" w:rsidRDefault="00124A7B">
            <w:pPr>
              <w:snapToGrid w:val="0"/>
              <w:spacing w:line="5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E6F77C" w14:textId="77777777" w:rsidR="00124A7B" w:rsidRPr="00227D2B" w:rsidRDefault="00124A7B">
            <w:pPr>
              <w:snapToGrid w:val="0"/>
              <w:spacing w:line="5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B1472E" w14:textId="77777777" w:rsidR="00124A7B" w:rsidRPr="00227D2B" w:rsidRDefault="00124A7B">
            <w:pPr>
              <w:snapToGrid w:val="0"/>
              <w:spacing w:line="500" w:lineRule="exact"/>
              <w:jc w:val="center"/>
              <w:rPr>
                <w:rFonts w:eastAsia="標楷體"/>
                <w:b/>
              </w:rPr>
            </w:pPr>
          </w:p>
        </w:tc>
      </w:tr>
      <w:tr w:rsidR="00227D2B" w:rsidRPr="00227D2B" w14:paraId="3AEEA9FF" w14:textId="77777777">
        <w:trPr>
          <w:cantSplit/>
          <w:trHeight w:val="1043"/>
          <w:jc w:val="center"/>
        </w:trPr>
        <w:tc>
          <w:tcPr>
            <w:tcW w:w="29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C98218" w14:textId="77777777" w:rsidR="00124A7B" w:rsidRPr="00227D2B" w:rsidRDefault="00124A7B">
            <w:pPr>
              <w:autoSpaceDE w:val="0"/>
              <w:snapToGrid w:val="0"/>
              <w:spacing w:line="240" w:lineRule="atLeast"/>
              <w:jc w:val="both"/>
              <w:rPr>
                <w:rFonts w:eastAsia="標楷體"/>
                <w:kern w:val="0"/>
                <w:szCs w:val="24"/>
              </w:rPr>
            </w:pPr>
          </w:p>
          <w:p w14:paraId="5090B819" w14:textId="77777777" w:rsidR="00124A7B" w:rsidRPr="00227D2B" w:rsidRDefault="00E637E3">
            <w:pPr>
              <w:autoSpaceDE w:val="0"/>
              <w:snapToGrid w:val="0"/>
              <w:spacing w:line="240" w:lineRule="atLeast"/>
              <w:jc w:val="both"/>
            </w:pPr>
            <w:r w:rsidRPr="00227D2B">
              <w:rPr>
                <w:rFonts w:eastAsia="標楷體"/>
                <w:kern w:val="0"/>
                <w:szCs w:val="24"/>
              </w:rPr>
              <w:t>四、</w:t>
            </w:r>
            <w:r w:rsidRPr="00227D2B">
              <w:rPr>
                <w:rFonts w:eastAsia="標楷體"/>
                <w:szCs w:val="24"/>
              </w:rPr>
              <w:t>營運團隊及實績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367B4" w14:textId="77777777" w:rsidR="00124A7B" w:rsidRPr="00227D2B" w:rsidRDefault="00E637E3">
            <w:pPr>
              <w:autoSpaceDE w:val="0"/>
              <w:snapToGrid w:val="0"/>
              <w:spacing w:line="240" w:lineRule="atLeast"/>
              <w:jc w:val="center"/>
              <w:rPr>
                <w:rFonts w:ascii="Calibri" w:eastAsia="標楷體" w:hAnsi="Calibri" w:cs="Calibri"/>
                <w:szCs w:val="24"/>
              </w:rPr>
            </w:pPr>
            <w:r w:rsidRPr="00227D2B">
              <w:rPr>
                <w:rFonts w:ascii="Calibri" w:eastAsia="標楷體" w:hAnsi="Calibri" w:cs="Calibri"/>
                <w:szCs w:val="24"/>
              </w:rPr>
              <w:t>15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E4F50" w14:textId="77777777" w:rsidR="00124A7B" w:rsidRPr="00227D2B" w:rsidRDefault="00124A7B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95919E" w14:textId="77777777" w:rsidR="00124A7B" w:rsidRPr="00227D2B" w:rsidRDefault="00124A7B">
            <w:pPr>
              <w:snapToGrid w:val="0"/>
              <w:spacing w:line="5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004745" w14:textId="77777777" w:rsidR="00124A7B" w:rsidRPr="00227D2B" w:rsidRDefault="00124A7B">
            <w:pPr>
              <w:snapToGrid w:val="0"/>
              <w:spacing w:line="5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BAF8FB" w14:textId="77777777" w:rsidR="00124A7B" w:rsidRPr="00227D2B" w:rsidRDefault="00124A7B">
            <w:pPr>
              <w:snapToGrid w:val="0"/>
              <w:spacing w:line="500" w:lineRule="exact"/>
              <w:jc w:val="center"/>
              <w:rPr>
                <w:rFonts w:eastAsia="標楷體"/>
                <w:b/>
              </w:rPr>
            </w:pPr>
          </w:p>
        </w:tc>
      </w:tr>
      <w:tr w:rsidR="00227D2B" w:rsidRPr="00227D2B" w14:paraId="33259B5D" w14:textId="77777777">
        <w:trPr>
          <w:cantSplit/>
          <w:trHeight w:val="873"/>
          <w:jc w:val="center"/>
        </w:trPr>
        <w:tc>
          <w:tcPr>
            <w:tcW w:w="2926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FC7C4B" w14:textId="77777777" w:rsidR="00124A7B" w:rsidRPr="00227D2B" w:rsidRDefault="00124A7B">
            <w:pPr>
              <w:autoSpaceDE w:val="0"/>
              <w:snapToGrid w:val="0"/>
              <w:spacing w:line="240" w:lineRule="atLeast"/>
              <w:jc w:val="both"/>
              <w:rPr>
                <w:rFonts w:eastAsia="標楷體"/>
                <w:kern w:val="0"/>
                <w:szCs w:val="24"/>
              </w:rPr>
            </w:pPr>
          </w:p>
          <w:p w14:paraId="21392F3A" w14:textId="77777777" w:rsidR="00124A7B" w:rsidRPr="00227D2B" w:rsidRDefault="00E637E3">
            <w:pPr>
              <w:autoSpaceDE w:val="0"/>
              <w:snapToGrid w:val="0"/>
              <w:spacing w:line="240" w:lineRule="atLeast"/>
              <w:jc w:val="both"/>
            </w:pPr>
            <w:r w:rsidRPr="00227D2B">
              <w:rPr>
                <w:rFonts w:eastAsia="標楷體"/>
                <w:kern w:val="0"/>
                <w:szCs w:val="24"/>
              </w:rPr>
              <w:t>五、</w:t>
            </w:r>
            <w:r w:rsidRPr="00227D2B">
              <w:rPr>
                <w:rFonts w:eastAsia="標楷體"/>
                <w:szCs w:val="24"/>
              </w:rPr>
              <w:t>營運創意及回饋計畫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D57FCA" w14:textId="77777777" w:rsidR="00124A7B" w:rsidRPr="00227D2B" w:rsidRDefault="00E637E3">
            <w:pPr>
              <w:autoSpaceDE w:val="0"/>
              <w:snapToGrid w:val="0"/>
              <w:spacing w:line="240" w:lineRule="atLeast"/>
              <w:jc w:val="center"/>
              <w:rPr>
                <w:rFonts w:ascii="Calibri" w:eastAsia="標楷體" w:hAnsi="Calibri" w:cs="Calibri"/>
                <w:szCs w:val="24"/>
              </w:rPr>
            </w:pPr>
            <w:r w:rsidRPr="00227D2B">
              <w:rPr>
                <w:rFonts w:ascii="Calibri" w:eastAsia="標楷體" w:hAnsi="Calibri" w:cs="Calibri"/>
                <w:szCs w:val="24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94394D" w14:textId="77777777" w:rsidR="00124A7B" w:rsidRPr="00227D2B" w:rsidRDefault="00124A7B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6745C5" w14:textId="77777777" w:rsidR="00124A7B" w:rsidRPr="00227D2B" w:rsidRDefault="00124A7B">
            <w:pPr>
              <w:snapToGrid w:val="0"/>
              <w:spacing w:line="5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C67B6" w14:textId="77777777" w:rsidR="00124A7B" w:rsidRPr="00227D2B" w:rsidRDefault="00124A7B">
            <w:pPr>
              <w:snapToGrid w:val="0"/>
              <w:spacing w:line="5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53A674" w14:textId="77777777" w:rsidR="00124A7B" w:rsidRPr="00227D2B" w:rsidRDefault="00124A7B">
            <w:pPr>
              <w:snapToGrid w:val="0"/>
              <w:spacing w:line="500" w:lineRule="exact"/>
              <w:jc w:val="center"/>
              <w:rPr>
                <w:rFonts w:eastAsia="標楷體"/>
                <w:b/>
              </w:rPr>
            </w:pPr>
          </w:p>
        </w:tc>
      </w:tr>
      <w:tr w:rsidR="00227D2B" w:rsidRPr="00227D2B" w14:paraId="36859460" w14:textId="77777777">
        <w:trPr>
          <w:cantSplit/>
          <w:trHeight w:val="966"/>
          <w:jc w:val="center"/>
        </w:trPr>
        <w:tc>
          <w:tcPr>
            <w:tcW w:w="29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C615DA" w14:textId="77777777" w:rsidR="00124A7B" w:rsidRPr="00227D2B" w:rsidRDefault="00124A7B">
            <w:pPr>
              <w:autoSpaceDE w:val="0"/>
              <w:snapToGrid w:val="0"/>
              <w:spacing w:line="240" w:lineRule="atLeast"/>
              <w:jc w:val="both"/>
              <w:rPr>
                <w:rFonts w:eastAsia="標楷體"/>
                <w:kern w:val="0"/>
                <w:szCs w:val="24"/>
              </w:rPr>
            </w:pPr>
          </w:p>
          <w:p w14:paraId="7E412894" w14:textId="77777777" w:rsidR="00124A7B" w:rsidRPr="00227D2B" w:rsidRDefault="00E637E3">
            <w:pPr>
              <w:autoSpaceDE w:val="0"/>
              <w:snapToGrid w:val="0"/>
              <w:spacing w:line="240" w:lineRule="atLeast"/>
              <w:jc w:val="both"/>
            </w:pPr>
            <w:r w:rsidRPr="00227D2B">
              <w:rPr>
                <w:rFonts w:eastAsia="標楷體"/>
                <w:kern w:val="0"/>
                <w:szCs w:val="24"/>
              </w:rPr>
              <w:t>六、</w:t>
            </w:r>
            <w:r w:rsidRPr="00227D2B">
              <w:rPr>
                <w:rFonts w:eastAsia="標楷體"/>
                <w:szCs w:val="24"/>
              </w:rPr>
              <w:t>簡報答詢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BEB48C" w14:textId="77777777" w:rsidR="00124A7B" w:rsidRPr="00227D2B" w:rsidRDefault="00E637E3">
            <w:pPr>
              <w:autoSpaceDE w:val="0"/>
              <w:snapToGrid w:val="0"/>
              <w:spacing w:line="240" w:lineRule="atLeast"/>
              <w:jc w:val="center"/>
              <w:rPr>
                <w:rFonts w:ascii="Calibri" w:eastAsia="標楷體" w:hAnsi="Calibri" w:cs="Calibri"/>
                <w:szCs w:val="24"/>
              </w:rPr>
            </w:pPr>
            <w:r w:rsidRPr="00227D2B">
              <w:rPr>
                <w:rFonts w:ascii="Calibri" w:eastAsia="標楷體" w:hAnsi="Calibri" w:cs="Calibri"/>
                <w:szCs w:val="24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211F39" w14:textId="77777777" w:rsidR="00124A7B" w:rsidRPr="00227D2B" w:rsidRDefault="00124A7B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B7A8AB" w14:textId="77777777" w:rsidR="00124A7B" w:rsidRPr="00227D2B" w:rsidRDefault="00124A7B">
            <w:pPr>
              <w:snapToGrid w:val="0"/>
              <w:spacing w:line="5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CE9597" w14:textId="77777777" w:rsidR="00124A7B" w:rsidRPr="00227D2B" w:rsidRDefault="00124A7B">
            <w:pPr>
              <w:snapToGrid w:val="0"/>
              <w:spacing w:line="5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DAA28" w14:textId="77777777" w:rsidR="00124A7B" w:rsidRPr="00227D2B" w:rsidRDefault="00124A7B">
            <w:pPr>
              <w:snapToGrid w:val="0"/>
              <w:spacing w:line="500" w:lineRule="exact"/>
              <w:jc w:val="center"/>
              <w:rPr>
                <w:rFonts w:eastAsia="標楷體"/>
                <w:b/>
              </w:rPr>
            </w:pPr>
          </w:p>
        </w:tc>
      </w:tr>
      <w:tr w:rsidR="00227D2B" w:rsidRPr="00227D2B" w14:paraId="049C82A0" w14:textId="77777777">
        <w:trPr>
          <w:cantSplit/>
          <w:trHeight w:val="975"/>
          <w:jc w:val="center"/>
        </w:trPr>
        <w:tc>
          <w:tcPr>
            <w:tcW w:w="29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A0A88" w14:textId="77777777" w:rsidR="00124A7B" w:rsidRPr="00227D2B" w:rsidRDefault="00E637E3">
            <w:pPr>
              <w:snapToGrid w:val="0"/>
              <w:spacing w:line="240" w:lineRule="atLeast"/>
              <w:rPr>
                <w:rFonts w:eastAsia="標楷體"/>
                <w:b/>
                <w:szCs w:val="24"/>
              </w:rPr>
            </w:pPr>
            <w:r w:rsidRPr="00227D2B">
              <w:rPr>
                <w:rFonts w:eastAsia="標楷體"/>
                <w:b/>
                <w:szCs w:val="24"/>
              </w:rPr>
              <w:t>合計</w:t>
            </w:r>
          </w:p>
          <w:p w14:paraId="5992CD36" w14:textId="77777777" w:rsidR="00124A7B" w:rsidRPr="00227D2B" w:rsidRDefault="00E637E3">
            <w:pPr>
              <w:snapToGrid w:val="0"/>
              <w:spacing w:line="240" w:lineRule="atLeast"/>
            </w:pPr>
            <w:r w:rsidRPr="00227D2B">
              <w:rPr>
                <w:rFonts w:eastAsia="標楷體"/>
                <w:b/>
                <w:szCs w:val="24"/>
              </w:rPr>
              <w:t>(</w:t>
            </w:r>
            <w:r w:rsidRPr="00227D2B">
              <w:rPr>
                <w:rFonts w:eastAsia="標楷體"/>
                <w:b/>
                <w:szCs w:val="24"/>
              </w:rPr>
              <w:t>由評選委員填寫</w:t>
            </w:r>
            <w:r w:rsidRPr="00227D2B">
              <w:rPr>
                <w:rFonts w:eastAsia="標楷體"/>
                <w:b/>
                <w:szCs w:val="24"/>
              </w:rPr>
              <w:t>)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D7673B" w14:textId="77777777" w:rsidR="00124A7B" w:rsidRPr="00227D2B" w:rsidRDefault="00E637E3">
            <w:pPr>
              <w:snapToGrid w:val="0"/>
              <w:spacing w:line="240" w:lineRule="atLeast"/>
              <w:ind w:left="10" w:firstLine="1"/>
              <w:jc w:val="center"/>
              <w:rPr>
                <w:rFonts w:ascii="Calibri" w:eastAsia="標楷體" w:hAnsi="Calibri" w:cs="Calibri"/>
                <w:b/>
                <w:szCs w:val="24"/>
              </w:rPr>
            </w:pPr>
            <w:r w:rsidRPr="00227D2B">
              <w:rPr>
                <w:rFonts w:ascii="Calibri" w:eastAsia="標楷體" w:hAnsi="Calibri" w:cs="Calibri"/>
                <w:b/>
                <w:szCs w:val="24"/>
              </w:rPr>
              <w:t>100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A041BD" w14:textId="77777777" w:rsidR="00124A7B" w:rsidRPr="00227D2B" w:rsidRDefault="00124A7B">
            <w:pPr>
              <w:snapToGrid w:val="0"/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06BA83" w14:textId="77777777" w:rsidR="00124A7B" w:rsidRPr="00227D2B" w:rsidRDefault="00124A7B">
            <w:pPr>
              <w:snapToGrid w:val="0"/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2E1F09" w14:textId="77777777" w:rsidR="00124A7B" w:rsidRPr="00227D2B" w:rsidRDefault="00124A7B">
            <w:pPr>
              <w:snapToGrid w:val="0"/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69883D" w14:textId="77777777" w:rsidR="00124A7B" w:rsidRPr="00227D2B" w:rsidRDefault="00124A7B">
            <w:pPr>
              <w:snapToGrid w:val="0"/>
              <w:spacing w:line="360" w:lineRule="exact"/>
              <w:rPr>
                <w:rFonts w:eastAsia="標楷體"/>
                <w:b/>
              </w:rPr>
            </w:pPr>
          </w:p>
        </w:tc>
      </w:tr>
      <w:tr w:rsidR="00227D2B" w:rsidRPr="00227D2B" w14:paraId="5FC6F896" w14:textId="77777777">
        <w:trPr>
          <w:cantSplit/>
          <w:trHeight w:val="1054"/>
          <w:jc w:val="center"/>
        </w:trPr>
        <w:tc>
          <w:tcPr>
            <w:tcW w:w="3577" w:type="dxa"/>
            <w:gridSpan w:val="2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4BEE59" w14:textId="77777777" w:rsidR="00124A7B" w:rsidRPr="00227D2B" w:rsidRDefault="00E637E3">
            <w:pPr>
              <w:snapToGrid w:val="0"/>
              <w:spacing w:line="360" w:lineRule="exact"/>
              <w:ind w:left="10" w:firstLine="1"/>
              <w:jc w:val="center"/>
            </w:pPr>
            <w:r w:rsidRPr="00227D2B">
              <w:rPr>
                <w:rFonts w:eastAsia="標楷體"/>
                <w:b/>
                <w:szCs w:val="24"/>
              </w:rPr>
              <w:t>序位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0384FB" w14:textId="77777777" w:rsidR="00124A7B" w:rsidRPr="00227D2B" w:rsidRDefault="00124A7B">
            <w:pPr>
              <w:snapToGrid w:val="0"/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150F4" w14:textId="77777777" w:rsidR="00124A7B" w:rsidRPr="00227D2B" w:rsidRDefault="00124A7B">
            <w:pPr>
              <w:snapToGrid w:val="0"/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5B5ADB" w14:textId="77777777" w:rsidR="00124A7B" w:rsidRPr="00227D2B" w:rsidRDefault="00124A7B">
            <w:pPr>
              <w:snapToGrid w:val="0"/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B988EE" w14:textId="77777777" w:rsidR="00124A7B" w:rsidRPr="00227D2B" w:rsidRDefault="00124A7B">
            <w:pPr>
              <w:snapToGrid w:val="0"/>
              <w:spacing w:line="360" w:lineRule="exact"/>
              <w:jc w:val="center"/>
              <w:rPr>
                <w:rFonts w:eastAsia="標楷體"/>
                <w:b/>
              </w:rPr>
            </w:pPr>
          </w:p>
        </w:tc>
      </w:tr>
    </w:tbl>
    <w:p w14:paraId="6F3B826F" w14:textId="77777777" w:rsidR="00124A7B" w:rsidRPr="00227D2B" w:rsidRDefault="00124A7B">
      <w:pPr>
        <w:rPr>
          <w:vanish/>
        </w:rPr>
      </w:pPr>
    </w:p>
    <w:tbl>
      <w:tblPr>
        <w:tblW w:w="9922" w:type="dxa"/>
        <w:tblInd w:w="26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4"/>
        <w:gridCol w:w="3928"/>
      </w:tblGrid>
      <w:tr w:rsidR="00227D2B" w:rsidRPr="00227D2B" w14:paraId="22D7154E" w14:textId="77777777">
        <w:trPr>
          <w:cantSplit/>
          <w:trHeight w:val="3072"/>
        </w:trPr>
        <w:tc>
          <w:tcPr>
            <w:tcW w:w="59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07C466" w14:textId="77777777" w:rsidR="00124A7B" w:rsidRPr="00227D2B" w:rsidRDefault="00E637E3">
            <w:pPr>
              <w:rPr>
                <w:rFonts w:ascii="標楷體" w:eastAsia="標楷體" w:hAnsi="標楷體"/>
                <w:sz w:val="22"/>
              </w:rPr>
            </w:pPr>
            <w:r w:rsidRPr="00227D2B">
              <w:rPr>
                <w:rFonts w:ascii="標楷體" w:eastAsia="標楷體" w:hAnsi="標楷體"/>
                <w:sz w:val="22"/>
              </w:rPr>
              <w:t>廠商評分平均總評分未達75分者，不得列為議約決標對象，未達70分者或評分達90分以上者，請委員敘明理由。</w:t>
            </w:r>
          </w:p>
          <w:p w14:paraId="1A06626F" w14:textId="77777777" w:rsidR="00124A7B" w:rsidRPr="00227D2B" w:rsidRDefault="00124A7B">
            <w:pPr>
              <w:autoSpaceDE w:val="0"/>
              <w:snapToGrid w:val="0"/>
              <w:spacing w:line="240" w:lineRule="atLeast"/>
              <w:rPr>
                <w:rFonts w:eastAsia="標楷體"/>
              </w:rPr>
            </w:pPr>
          </w:p>
          <w:p w14:paraId="01FB0CF4" w14:textId="77777777" w:rsidR="00124A7B" w:rsidRPr="00227D2B" w:rsidRDefault="00124A7B">
            <w:pPr>
              <w:autoSpaceDE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392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2C8AD7" w14:textId="77777777" w:rsidR="00124A7B" w:rsidRPr="00227D2B" w:rsidRDefault="00E637E3">
            <w:pPr>
              <w:spacing w:line="360" w:lineRule="exact"/>
              <w:ind w:right="160"/>
              <w:jc w:val="both"/>
            </w:pPr>
            <w:r w:rsidRPr="00227D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40F7FB" wp14:editId="07764821">
                      <wp:simplePos x="0" y="0"/>
                      <wp:positionH relativeFrom="margin">
                        <wp:posOffset>291465</wp:posOffset>
                      </wp:positionH>
                      <wp:positionV relativeFrom="paragraph">
                        <wp:posOffset>238758</wp:posOffset>
                      </wp:positionV>
                      <wp:extent cx="2514600" cy="2389511"/>
                      <wp:effectExtent l="0" t="0" r="19050" b="29839"/>
                      <wp:wrapNone/>
                      <wp:docPr id="1" name="直線接點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14600" cy="238951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808080"/>
                                </a:solidFill>
                                <a:custDash>
                                  <a:ds d="299906" sp="299906"/>
                                </a:custDash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C872F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接點 18" o:spid="_x0000_s1026" type="#_x0000_t32" style="position:absolute;margin-left:22.95pt;margin-top:18.8pt;width:198pt;height:188.15pt;flip:x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" strokecolor="gray" strokeweight=".26467mm">
                      <w10:wrap anchorx="margin"/>
                    </v:shape>
                  </w:pict>
                </mc:Fallback>
              </mc:AlternateContent>
            </w:r>
            <w:r w:rsidRPr="00227D2B">
              <w:rPr>
                <w:rFonts w:eastAsia="標楷體"/>
              </w:rPr>
              <w:t xml:space="preserve">      </w:t>
            </w:r>
            <w:r w:rsidRPr="00227D2B">
              <w:rPr>
                <w:rFonts w:eastAsia="標楷體"/>
              </w:rPr>
              <w:t>評選委員簽名</w:t>
            </w:r>
          </w:p>
        </w:tc>
      </w:tr>
    </w:tbl>
    <w:p w14:paraId="3059087C" w14:textId="77777777" w:rsidR="00124A7B" w:rsidRPr="00227D2B" w:rsidRDefault="00124A7B">
      <w:pPr>
        <w:snapToGrid w:val="0"/>
        <w:spacing w:before="183" w:after="183"/>
        <w:rPr>
          <w:rFonts w:ascii="標楷體" w:eastAsia="標楷體" w:hAnsi="標楷體"/>
        </w:rPr>
      </w:pPr>
    </w:p>
    <w:p w14:paraId="62A74AE5" w14:textId="77777777" w:rsidR="00124A7B" w:rsidRPr="00227D2B" w:rsidRDefault="00124A7B">
      <w:pPr>
        <w:snapToGrid w:val="0"/>
        <w:spacing w:before="183" w:after="183"/>
        <w:rPr>
          <w:rFonts w:ascii="標楷體" w:eastAsia="標楷體" w:hAnsi="標楷體"/>
        </w:rPr>
      </w:pPr>
    </w:p>
    <w:p w14:paraId="46F128D4" w14:textId="77777777" w:rsidR="00124A7B" w:rsidRPr="00227D2B" w:rsidRDefault="00E637E3">
      <w:pPr>
        <w:snapToGrid w:val="0"/>
        <w:spacing w:before="183" w:after="183"/>
        <w:rPr>
          <w:rFonts w:ascii="標楷體" w:eastAsia="標楷體" w:hAnsi="標楷體"/>
        </w:rPr>
      </w:pPr>
      <w:r w:rsidRPr="00227D2B">
        <w:rPr>
          <w:rFonts w:ascii="標楷體" w:eastAsia="標楷體" w:hAnsi="標楷體"/>
        </w:rPr>
        <w:lastRenderedPageBreak/>
        <w:t>※本表填寫後：</w:t>
      </w:r>
    </w:p>
    <w:p w14:paraId="2CB82D9A" w14:textId="77777777" w:rsidR="00124A7B" w:rsidRPr="00227D2B" w:rsidRDefault="00E637E3">
      <w:pPr>
        <w:snapToGrid w:val="0"/>
        <w:spacing w:before="183" w:after="183"/>
        <w:rPr>
          <w:rFonts w:ascii="標楷體" w:eastAsia="標楷體" w:hAnsi="標楷體"/>
        </w:rPr>
      </w:pPr>
      <w:r w:rsidRPr="00227D2B">
        <w:rPr>
          <w:rFonts w:ascii="標楷體" w:eastAsia="標楷體" w:hAnsi="標楷體"/>
        </w:rPr>
        <w:t>(1)交予工作小組前，甄審委員若需修正，則由工作小組另發本空白表予委員重新填寫，原表請委員自行作廢。</w:t>
      </w:r>
    </w:p>
    <w:p w14:paraId="30BA2598" w14:textId="77777777" w:rsidR="00124A7B" w:rsidRPr="00227D2B" w:rsidRDefault="00E637E3">
      <w:pPr>
        <w:snapToGrid w:val="0"/>
        <w:spacing w:before="183" w:after="183"/>
      </w:pPr>
      <w:r w:rsidRPr="00227D2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B9DBD9" wp14:editId="78340712">
                <wp:simplePos x="0" y="0"/>
                <wp:positionH relativeFrom="column">
                  <wp:posOffset>-457200</wp:posOffset>
                </wp:positionH>
                <wp:positionV relativeFrom="paragraph">
                  <wp:posOffset>6263009</wp:posOffset>
                </wp:positionV>
                <wp:extent cx="3276596" cy="3124203"/>
                <wp:effectExtent l="0" t="0" r="19054" b="19047"/>
                <wp:wrapNone/>
                <wp:docPr id="2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596" cy="3124203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7DD4ACA" id="矩形 4" o:spid="_x0000_s1026" style="position:absolute;margin-left:-36pt;margin-top:493.15pt;width:258pt;height:24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" fillcolor="black" strokeweight=".35281mm">
                <v:textbox inset="0,0,0,0"/>
              </v:rect>
            </w:pict>
          </mc:Fallback>
        </mc:AlternateContent>
      </w:r>
      <w:r w:rsidRPr="00227D2B">
        <w:rPr>
          <w:rFonts w:ascii="標楷體" w:eastAsia="標楷體" w:hAnsi="標楷體"/>
        </w:rPr>
        <w:t>(2)交予工作小組後，工作小組或委員發現得分加總錯誤者，則由工作小組另發本空白表予委員，委員應在各項得分不得變更的情形下重新累計得分，原表由工作小組註記「得分加總錯誤作廢」後併存。</w:t>
      </w:r>
    </w:p>
    <w:sectPr w:rsidR="00124A7B" w:rsidRPr="00227D2B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6EE17" w14:textId="77777777" w:rsidR="00036910" w:rsidRDefault="00036910">
      <w:r>
        <w:separator/>
      </w:r>
    </w:p>
  </w:endnote>
  <w:endnote w:type="continuationSeparator" w:id="0">
    <w:p w14:paraId="417A38C4" w14:textId="77777777" w:rsidR="00036910" w:rsidRDefault="0003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BB3E8" w14:textId="77777777" w:rsidR="00036910" w:rsidRDefault="00036910">
      <w:r>
        <w:rPr>
          <w:color w:val="000000"/>
        </w:rPr>
        <w:separator/>
      </w:r>
    </w:p>
  </w:footnote>
  <w:footnote w:type="continuationSeparator" w:id="0">
    <w:p w14:paraId="06303E8E" w14:textId="77777777" w:rsidR="00036910" w:rsidRDefault="0003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7A86"/>
    <w:multiLevelType w:val="multilevel"/>
    <w:tmpl w:val="59AA4CC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221581"/>
    <w:multiLevelType w:val="multilevel"/>
    <w:tmpl w:val="7724162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021AA9"/>
    <w:multiLevelType w:val="multilevel"/>
    <w:tmpl w:val="19BA7CA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E142D6"/>
    <w:multiLevelType w:val="multilevel"/>
    <w:tmpl w:val="BAD889EE"/>
    <w:styleLink w:val="LFO19"/>
    <w:lvl w:ilvl="0">
      <w:start w:val="1"/>
      <w:numFmt w:val="taiwaneseCountingThousand"/>
      <w:pStyle w:val="a"/>
      <w:lvlText w:val="%1、"/>
      <w:lvlJc w:val="left"/>
      <w:pPr>
        <w:ind w:left="1030" w:hanging="720"/>
      </w:pPr>
      <w:rPr>
        <w:rFonts w:ascii="標楷體" w:eastAsia="標楷體" w:hAnsi="標楷體"/>
        <w:b/>
        <w:bCs/>
        <w:sz w:val="22"/>
        <w:szCs w:val="22"/>
      </w:rPr>
    </w:lvl>
    <w:lvl w:ilvl="1">
      <w:start w:val="1"/>
      <w:numFmt w:val="taiwaneseCountingThousand"/>
      <w:lvlText w:val="%2、"/>
      <w:lvlJc w:val="left"/>
      <w:pPr>
        <w:ind w:left="1510" w:hanging="720"/>
      </w:pPr>
      <w:rPr>
        <w:rFonts w:ascii="標楷體" w:eastAsia="標楷體" w:hAnsi="標楷體"/>
        <w:b w:val="0"/>
        <w:bCs/>
        <w:sz w:val="28"/>
        <w:szCs w:val="28"/>
      </w:rPr>
    </w:lvl>
    <w:lvl w:ilvl="2">
      <w:start w:val="1"/>
      <w:numFmt w:val="taiwaneseCountingThousand"/>
      <w:lvlText w:val="(%3)"/>
      <w:lvlJc w:val="left"/>
      <w:pPr>
        <w:ind w:left="1990" w:hanging="720"/>
      </w:pPr>
      <w:rPr>
        <w:rFonts w:ascii="標楷體" w:hAnsi="標楷體" w:cs="標楷體"/>
        <w:b w:val="0"/>
        <w:bCs/>
        <w:color w:val="000000"/>
        <w:sz w:val="28"/>
        <w:szCs w:val="28"/>
      </w:rPr>
    </w:lvl>
    <w:lvl w:ilvl="3">
      <w:start w:val="1"/>
      <w:numFmt w:val="taiwaneseCountingThousand"/>
      <w:lvlText w:val="（%4）"/>
      <w:lvlJc w:val="left"/>
      <w:pPr>
        <w:ind w:left="2830" w:hanging="1080"/>
      </w:pPr>
    </w:lvl>
    <w:lvl w:ilvl="4">
      <w:start w:val="1"/>
      <w:numFmt w:val="ideographTraditional"/>
      <w:lvlText w:val="%5、"/>
      <w:lvlJc w:val="left"/>
      <w:pPr>
        <w:ind w:left="2710" w:hanging="480"/>
      </w:pPr>
    </w:lvl>
    <w:lvl w:ilvl="5">
      <w:start w:val="1"/>
      <w:numFmt w:val="lowerRoman"/>
      <w:lvlText w:val="%6."/>
      <w:lvlJc w:val="right"/>
      <w:pPr>
        <w:ind w:left="3190" w:hanging="480"/>
      </w:pPr>
    </w:lvl>
    <w:lvl w:ilvl="6">
      <w:start w:val="1"/>
      <w:numFmt w:val="decimal"/>
      <w:lvlText w:val="%7."/>
      <w:lvlJc w:val="left"/>
      <w:pPr>
        <w:ind w:left="3670" w:hanging="480"/>
      </w:pPr>
    </w:lvl>
    <w:lvl w:ilvl="7">
      <w:start w:val="1"/>
      <w:numFmt w:val="ideographTraditional"/>
      <w:lvlText w:val="%8、"/>
      <w:lvlJc w:val="left"/>
      <w:pPr>
        <w:ind w:left="4150" w:hanging="480"/>
      </w:pPr>
    </w:lvl>
    <w:lvl w:ilvl="8">
      <w:start w:val="1"/>
      <w:numFmt w:val="lowerRoman"/>
      <w:lvlText w:val="%9."/>
      <w:lvlJc w:val="right"/>
      <w:pPr>
        <w:ind w:left="4630" w:hanging="480"/>
      </w:pPr>
    </w:lvl>
  </w:abstractNum>
  <w:abstractNum w:abstractNumId="4" w15:restartNumberingAfterBreak="0">
    <w:nsid w:val="432E7C38"/>
    <w:multiLevelType w:val="multilevel"/>
    <w:tmpl w:val="A67C4DC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CE54476"/>
    <w:multiLevelType w:val="multilevel"/>
    <w:tmpl w:val="8D4638A6"/>
    <w:lvl w:ilvl="0">
      <w:start w:val="1"/>
      <w:numFmt w:val="taiwaneseCountingThousand"/>
      <w:lvlText w:val="（%1）"/>
      <w:lvlJc w:val="left"/>
      <w:pPr>
        <w:ind w:left="1200" w:hanging="720"/>
      </w:pPr>
      <w:rPr>
        <w:rFonts w:ascii="標楷體" w:eastAsia="標楷體" w:hAnsi="標楷體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3F03DAF"/>
    <w:multiLevelType w:val="multilevel"/>
    <w:tmpl w:val="35543B2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11C0692"/>
    <w:multiLevelType w:val="multilevel"/>
    <w:tmpl w:val="6690233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lang w:val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719357CD"/>
    <w:multiLevelType w:val="multilevel"/>
    <w:tmpl w:val="4CAAA5B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24A45E2"/>
    <w:multiLevelType w:val="multilevel"/>
    <w:tmpl w:val="605ABE10"/>
    <w:lvl w:ilvl="0">
      <w:start w:val="1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7913BAC"/>
    <w:multiLevelType w:val="multilevel"/>
    <w:tmpl w:val="D36673EC"/>
    <w:lvl w:ilvl="0">
      <w:start w:val="1"/>
      <w:numFmt w:val="taiwaneseCountingThousand"/>
      <w:lvlText w:val="（%1）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 w16cid:durableId="995648985">
    <w:abstractNumId w:val="3"/>
  </w:num>
  <w:num w:numId="2" w16cid:durableId="1920367492">
    <w:abstractNumId w:val="7"/>
  </w:num>
  <w:num w:numId="3" w16cid:durableId="2141535873">
    <w:abstractNumId w:val="10"/>
  </w:num>
  <w:num w:numId="4" w16cid:durableId="1932082969">
    <w:abstractNumId w:val="5"/>
  </w:num>
  <w:num w:numId="5" w16cid:durableId="1437216830">
    <w:abstractNumId w:val="4"/>
  </w:num>
  <w:num w:numId="6" w16cid:durableId="1937012211">
    <w:abstractNumId w:val="6"/>
  </w:num>
  <w:num w:numId="7" w16cid:durableId="710347297">
    <w:abstractNumId w:val="1"/>
  </w:num>
  <w:num w:numId="8" w16cid:durableId="1729650913">
    <w:abstractNumId w:val="0"/>
  </w:num>
  <w:num w:numId="9" w16cid:durableId="1222982014">
    <w:abstractNumId w:val="8"/>
  </w:num>
  <w:num w:numId="10" w16cid:durableId="1976913186">
    <w:abstractNumId w:val="9"/>
  </w:num>
  <w:num w:numId="11" w16cid:durableId="243298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A7B"/>
    <w:rsid w:val="00036910"/>
    <w:rsid w:val="00124A7B"/>
    <w:rsid w:val="001A5677"/>
    <w:rsid w:val="00227D2B"/>
    <w:rsid w:val="00511013"/>
    <w:rsid w:val="00720F75"/>
    <w:rsid w:val="00737694"/>
    <w:rsid w:val="008943B4"/>
    <w:rsid w:val="009C7A2F"/>
    <w:rsid w:val="009E295B"/>
    <w:rsid w:val="00D354C9"/>
    <w:rsid w:val="00D67051"/>
    <w:rsid w:val="00E6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FD5209"/>
  <w15:docId w15:val="{4B4459F0-182C-429F-9069-C377BD55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0"/>
    <w:next w:val="a0"/>
    <w:pPr>
      <w:keepNext/>
      <w:tabs>
        <w:tab w:val="left" w:pos="994"/>
      </w:tabs>
      <w:snapToGrid w:val="0"/>
      <w:spacing w:before="120"/>
      <w:jc w:val="center"/>
      <w:outlineLvl w:val="0"/>
    </w:pPr>
    <w:rPr>
      <w:rFonts w:eastAsia="標楷體"/>
      <w:sz w:val="28"/>
    </w:rPr>
  </w:style>
  <w:style w:type="paragraph" w:styleId="3">
    <w:name w:val="heading 3"/>
    <w:basedOn w:val="a0"/>
    <w:next w:val="a0"/>
    <w:pPr>
      <w:keepNext/>
      <w:suppressAutoHyphens w:val="0"/>
      <w:spacing w:line="720" w:lineRule="auto"/>
      <w:textAlignment w:val="auto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rPr>
      <w:rFonts w:ascii="Arial" w:hAnsi="Arial"/>
      <w:sz w:val="18"/>
      <w:szCs w:val="18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rPr>
      <w:kern w:val="3"/>
    </w:rPr>
  </w:style>
  <w:style w:type="character" w:customStyle="1" w:styleId="10">
    <w:name w:val="標題 1 字元"/>
    <w:rPr>
      <w:rFonts w:eastAsia="標楷體"/>
      <w:kern w:val="3"/>
      <w:sz w:val="28"/>
    </w:rPr>
  </w:style>
  <w:style w:type="paragraph" w:customStyle="1" w:styleId="a">
    <w:name w:val="一"/>
    <w:basedOn w:val="a0"/>
    <w:pPr>
      <w:numPr>
        <w:numId w:val="1"/>
      </w:numPr>
    </w:pPr>
    <w:rPr>
      <w:rFonts w:ascii="Calibri" w:hAnsi="Calibri"/>
      <w:szCs w:val="22"/>
    </w:rPr>
  </w:style>
  <w:style w:type="paragraph" w:styleId="a9">
    <w:name w:val="List Paragraph"/>
    <w:basedOn w:val="a0"/>
    <w:pPr>
      <w:ind w:left="480"/>
    </w:pPr>
  </w:style>
  <w:style w:type="character" w:customStyle="1" w:styleId="30">
    <w:name w:val="標題 3 字元"/>
    <w:basedOn w:val="a1"/>
    <w:rPr>
      <w:rFonts w:ascii="Arial" w:hAnsi="Arial"/>
      <w:b/>
      <w:bCs/>
      <w:kern w:val="3"/>
      <w:sz w:val="36"/>
      <w:szCs w:val="36"/>
    </w:rPr>
  </w:style>
  <w:style w:type="numbering" w:customStyle="1" w:styleId="LFO19">
    <w:name w:val="LFO19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交通部觀光局參山國家風景區管理處</dc:title>
  <dc:creator>邱琬婷</dc:creator>
  <cp:lastModifiedBy>張庭榆</cp:lastModifiedBy>
  <cp:revision>4</cp:revision>
  <cp:lastPrinted>2021-10-26T08:26:00Z</cp:lastPrinted>
  <dcterms:created xsi:type="dcterms:W3CDTF">2022-05-03T05:16:00Z</dcterms:created>
  <dcterms:modified xsi:type="dcterms:W3CDTF">2022-06-06T06:34:00Z</dcterms:modified>
</cp:coreProperties>
</file>