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9" w:rsidRPr="00D90C49" w:rsidRDefault="00D90C49" w:rsidP="00D90C49">
      <w:pPr>
        <w:widowControl/>
        <w:spacing w:after="150" w:line="40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90C4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桃園市政府經濟發展局檔案歸檔注意事項</w:t>
      </w:r>
    </w:p>
    <w:p w:rsidR="0083018F" w:rsidRPr="0083018F" w:rsidRDefault="0083018F" w:rsidP="0083018F">
      <w:pPr>
        <w:widowControl/>
        <w:spacing w:after="150"/>
        <w:ind w:leftChars="200" w:left="960" w:hangingChars="200" w:hanging="480"/>
        <w:jc w:val="right"/>
        <w:rPr>
          <w:rFonts w:ascii="標楷體" w:eastAsia="標楷體" w:hAnsi="標楷體" w:cs="新細明體"/>
          <w:kern w:val="0"/>
          <w:szCs w:val="24"/>
        </w:rPr>
      </w:pP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、歸檔案件以原件為原則，有附件者，每一種以一份為限。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)未以原件歸檔者，應由承辦單位於影本空白處簽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註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無法以原件歸檔原因，並經權責長官核准後，辦理歸檔。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(二)歸檔案件有微縮、影音、電子等媒體型式者，應請承辦人員確認其內容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無誤後彌封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蓋章。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(三)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機關間紙本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來文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經轉製為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電子型式而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完成線上簽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核辦畢者，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其紙本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來文如無重複歸檔之必要者，得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不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歸檔，由各機關本於權責，自訂保管期限，屆期後逕行處置；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惟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涉及個人權益或信證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稽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憑之機關間行文及非屬機關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間之紙本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來文，經改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為線上簽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核辦畢者，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其紙本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來文仍需歸檔管理。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(四)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線上簽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核辦畢案件，不需列印紙本歸檔。</w:t>
      </w: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、歸檔案件，應由承辦人員逐件依下列原則編寫頁碼、檔案分類號、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案次號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及保存年限：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="00D22E59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依文件產生日期先後順序，晚者在上，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早者在下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，依序於各頁右下角編寫頁碼；但文件為雙面書寫或列印者，其背面頁碼於左下角為之，並統一以阿拉伯數字 1，2，3…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…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編寫，並於首頁編寫總頁數，先編本文，續編附件，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簽稿並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陳者，以簽為上，稿為下編寫；並將總頁數登錄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lastRenderedPageBreak/>
        <w:t>於公文管理系統中；有附件者應隨文歸 檔，並將名稱登錄於公文管理系統。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(二)附件頁碼之編寫，除已編有頁碼或為書籍型式或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難以隨文裝訂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者外，應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同其本文連續為之。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(三)案件應依各科室「檔案分類及保存年限區分表」及「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案名清單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」由承辨人員於公文首頁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右上角填妥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適當之分類號、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案次號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及保存年限。</w:t>
      </w:r>
    </w:p>
    <w:p w:rsidR="00D22E5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、文書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單位或承辨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單位應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將辦畢案件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於</w:t>
      </w:r>
      <w:r w:rsidR="009B1A1F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日內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逐件彙齊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後，於發文或存查後結案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同歸檔清單送檔案管理單位歸檔。但下列物品，不得歸檔：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)現金、有價證券及其他貴重物品。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(二)司法訴訟有關物證。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(三)流質、氣體、易燃品、管制物品或其他危及人身與公共安全之物品。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(四)易變質而不適長期保存之物品。</w:t>
      </w: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、公文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用紙含申請書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、表單及附件，統一為A4或A3規格。如需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附便簽紙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，請承辦人員黏貼於適當位置並預留裝訂處；如附件紙張過小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如身分證影本、照片) 請承辦人員黏貼於A4紙張上連同公文送交歸檔。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)檔案之大小長短，應以公文紙規格為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準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，文件過長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過寬者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得予裁切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或摺疊，以求整齊，但不得損及原文及批註簽章等。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(二)公文附件為A3規格者，應以「蝴蝶頁」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方式折齊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9B1A1F">
        <w:rPr>
          <w:rFonts w:ascii="標楷體" w:eastAsia="標楷體" w:hAnsi="標楷體" w:cs="新細明體" w:hint="eastAsia"/>
          <w:kern w:val="0"/>
          <w:sz w:val="28"/>
          <w:szCs w:val="28"/>
        </w:rPr>
        <w:t>如為單面，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頁碼以</w:t>
      </w:r>
      <w:r w:rsidR="009B1A1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頁計</w:t>
      </w:r>
      <w:r w:rsidR="009B1A1F">
        <w:rPr>
          <w:rFonts w:ascii="標楷體" w:eastAsia="標楷體" w:hAnsi="標楷體" w:cs="新細明體" w:hint="eastAsia"/>
          <w:kern w:val="0"/>
          <w:sz w:val="28"/>
          <w:szCs w:val="28"/>
        </w:rPr>
        <w:t>；雙面則以2頁計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lastRenderedPageBreak/>
        <w:t>(三)歸檔公文及附件禁止使用資源回收用紙；傳真紙應先影印後再歸檔。</w:t>
      </w: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、歸檔案件除本文外，應基於業務參考價值或權責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稽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憑之需辦理歸檔；附件歸檔原則如下：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（一）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附件屬抽存續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辦者，承辦人員應於本文敘明，並於附件註記文號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及辦畢日期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，簽奉機關權責長官核准；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俟其辦畢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後，承辦人員應依規定辦理附件歸檔事宜。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（二）附件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以隨文裝訂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為原則，如難以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同裝訂時，應在原稿蓋「附件另存」戳記，並於附件本身標記名稱、檔號及收發文號；編目時應在相關欄位註明「附件名稱」、「媒體型式」、「數量」、「單位」及「附件存放位置」。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（三）附件為書籍經指定保存單位或為應公開之陳列品（如海報）等，不需辦理歸檔。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（四）歸檔案件有書籍型式之附件時，承辦人員應於書籍封面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右下角載明文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（編）號。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（五）歸檔案件有照片、微縮、影音、電子或其他方式儲存之媒體時，承辦人員應於其媒體或外包裝載明名稱、文號、規格、製作者、製作日期、分類號、保存年限及內容概要。但屬附件者，得不載明分類號、保存年限、製作者及製作日期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lastRenderedPageBreak/>
        <w:t>（六）已歸檔案件因錯誤需辦理抽換附件時，承辦人員應先辦理調案，再簽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註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抽換緣由及更正頁碼，簽請原核准長官核章後，始可辦理歸檔。</w:t>
      </w: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、一般信封或封套不得歸檔，惟具行政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稽憑及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法律信證價值之封套者</w:t>
      </w:r>
      <w:r w:rsidR="009B1A1F">
        <w:rPr>
          <w:rFonts w:ascii="標楷體" w:eastAsia="標楷體" w:hAnsi="標楷體" w:cs="新細明體" w:hint="eastAsia"/>
          <w:kern w:val="0"/>
          <w:sz w:val="28"/>
          <w:szCs w:val="28"/>
        </w:rPr>
        <w:t>(如：有掛號號碼之信封)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例外。</w:t>
      </w: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、公文裝訂時，請承辦人員齊左、齊下緣裝訂。案件厚度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較薄者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，以訂書針裝訂，並以</w:t>
      </w:r>
      <w:r w:rsidR="009B1A1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個為限；案件厚度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較厚者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，以長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尾夾或黏扣帶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(魔鬼氈)處理，避免損及檔案。</w:t>
      </w: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、歸檔清單得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書面或電子方式為之，並應記載下列事項：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)文（編）號。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(二)主旨或事由。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(三)承辦單位及人員。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(四)媒體類型及數量。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(五)附件媒體類型及數量。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(六)附件抽存續辦者，其名稱及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應辦畢日期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D90C49" w:rsidRPr="00D90C49" w:rsidRDefault="00D90C49" w:rsidP="00D22E59">
      <w:pPr>
        <w:widowControl/>
        <w:spacing w:after="150"/>
        <w:ind w:leftChars="200" w:left="104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90C49">
        <w:rPr>
          <w:rFonts w:ascii="標楷體" w:eastAsia="標楷體" w:hAnsi="標楷體" w:cs="新細明體"/>
          <w:kern w:val="0"/>
          <w:sz w:val="28"/>
          <w:szCs w:val="28"/>
        </w:rPr>
        <w:t>十、公文案件如需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他案處理，請承辦人員於案件上註記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案之文號。</w:t>
      </w:r>
    </w:p>
    <w:p w:rsidR="00D90C49" w:rsidRPr="00D90C49" w:rsidRDefault="00D90C49" w:rsidP="00BC3ED3">
      <w:pPr>
        <w:widowControl/>
        <w:adjustRightInd w:val="0"/>
        <w:spacing w:after="150"/>
        <w:ind w:leftChars="200" w:left="1047" w:hanging="567"/>
        <w:rPr>
          <w:rFonts w:ascii="標楷體" w:eastAsia="標楷體" w:hAnsi="標楷體" w:cs="TTB7CF9C5CtCID-WinCharSetFFFF-H"/>
          <w:b/>
          <w:color w:val="994806"/>
          <w:kern w:val="0"/>
          <w:sz w:val="28"/>
          <w:szCs w:val="28"/>
        </w:rPr>
      </w:pPr>
      <w:r w:rsidRPr="00D90C49">
        <w:rPr>
          <w:rFonts w:ascii="標楷體" w:eastAsia="標楷體" w:hAnsi="標楷體" w:cs="新細明體"/>
          <w:kern w:val="0"/>
          <w:sz w:val="28"/>
          <w:szCs w:val="28"/>
        </w:rPr>
        <w:t>十</w:t>
      </w:r>
      <w:r w:rsidRPr="00D90C4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t>、歸檔案件有下列情形之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 xml:space="preserve">者，應退還承辦單位或文書單位補正： 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)案件或其附件不全或附件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未隨文歸檔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，或附件未經簽准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而抽存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(二)案件污損、內容不清楚或無法讀取。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lastRenderedPageBreak/>
        <w:t>(三)案件未經批准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或漏判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、漏印、漏發、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漏會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(四)未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於稿面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適當位置列明收發文日期、字號或文號有誤。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(五)案件未填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註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分類號、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案次號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或保存年限。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(六)案件未依規定編碼或頁碼編寫有誤。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(七)文稿有</w:t>
      </w:r>
      <w:r w:rsidR="009B1A1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bookmarkStart w:id="0" w:name="_GoBack"/>
      <w:bookmarkEnd w:id="0"/>
      <w:r w:rsidRPr="00D90C49">
        <w:rPr>
          <w:rFonts w:ascii="標楷體" w:eastAsia="標楷體" w:hAnsi="標楷體" w:cs="新細明體"/>
          <w:kern w:val="0"/>
          <w:sz w:val="28"/>
          <w:szCs w:val="28"/>
        </w:rPr>
        <w:t>頁以上者應裝訂妥當，並於騎縫處蓋（印）騎縫章或職名章。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(八)樣張或已作廢之契約憑證等文件，有漏蓋「樣張」或「註銷」字樣。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(九)案件與歸檔清單之登載不符。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(十)案件未能以原件歸檔且未經簽奉權責長官核准。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(十一)有特殊媒體型式，未依規定載明其應記載事項。</w:t>
      </w:r>
      <w:r w:rsidRPr="00D90C49">
        <w:rPr>
          <w:rFonts w:ascii="標楷體" w:eastAsia="標楷體" w:hAnsi="標楷體" w:cs="新細明體"/>
          <w:kern w:val="0"/>
          <w:sz w:val="28"/>
          <w:szCs w:val="28"/>
        </w:rPr>
        <w:br/>
        <w:t>前項第二款所訂情形之補正，應由承辦業務相關人員查明補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註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蓋章，並經機關權責長官核可後，</w:t>
      </w:r>
      <w:proofErr w:type="gramStart"/>
      <w:r w:rsidRPr="00D90C49">
        <w:rPr>
          <w:rFonts w:ascii="標楷體" w:eastAsia="標楷體" w:hAnsi="標楷體" w:cs="新細明體"/>
          <w:kern w:val="0"/>
          <w:sz w:val="28"/>
          <w:szCs w:val="28"/>
        </w:rPr>
        <w:t>併</w:t>
      </w:r>
      <w:proofErr w:type="gramEnd"/>
      <w:r w:rsidRPr="00D90C49">
        <w:rPr>
          <w:rFonts w:ascii="標楷體" w:eastAsia="標楷體" w:hAnsi="標楷體" w:cs="新細明體"/>
          <w:kern w:val="0"/>
          <w:sz w:val="28"/>
          <w:szCs w:val="28"/>
        </w:rPr>
        <w:t>同原案歸檔備查。</w:t>
      </w:r>
    </w:p>
    <w:p w:rsidR="00CA1E41" w:rsidRPr="00D90C49" w:rsidRDefault="00CA1E41" w:rsidP="00D90C49">
      <w:pPr>
        <w:rPr>
          <w:sz w:val="28"/>
          <w:szCs w:val="28"/>
        </w:rPr>
      </w:pPr>
    </w:p>
    <w:sectPr w:rsidR="00CA1E41" w:rsidRPr="00D90C49" w:rsidSect="00EE3DE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37" w:rsidRDefault="00956937" w:rsidP="00D4012F">
      <w:r>
        <w:separator/>
      </w:r>
    </w:p>
  </w:endnote>
  <w:endnote w:type="continuationSeparator" w:id="0">
    <w:p w:rsidR="00956937" w:rsidRDefault="00956937" w:rsidP="00D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00590"/>
      <w:docPartObj>
        <w:docPartGallery w:val="Page Numbers (Bottom of Page)"/>
        <w:docPartUnique/>
      </w:docPartObj>
    </w:sdtPr>
    <w:sdtEndPr/>
    <w:sdtContent>
      <w:p w:rsidR="00D4012F" w:rsidRDefault="00D40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1F" w:rsidRPr="009B1A1F">
          <w:rPr>
            <w:noProof/>
            <w:lang w:val="zh-TW"/>
          </w:rPr>
          <w:t>1</w:t>
        </w:r>
        <w:r>
          <w:fldChar w:fldCharType="end"/>
        </w:r>
      </w:p>
    </w:sdtContent>
  </w:sdt>
  <w:p w:rsidR="00D4012F" w:rsidRDefault="00D401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37" w:rsidRDefault="00956937" w:rsidP="00D4012F">
      <w:r>
        <w:separator/>
      </w:r>
    </w:p>
  </w:footnote>
  <w:footnote w:type="continuationSeparator" w:id="0">
    <w:p w:rsidR="00956937" w:rsidRDefault="00956937" w:rsidP="00D4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478"/>
    <w:multiLevelType w:val="hybridMultilevel"/>
    <w:tmpl w:val="A68E18A2"/>
    <w:lvl w:ilvl="0" w:tplc="E5407C8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C"/>
    <w:rsid w:val="003C22EB"/>
    <w:rsid w:val="0083018F"/>
    <w:rsid w:val="00956937"/>
    <w:rsid w:val="009B1A1F"/>
    <w:rsid w:val="00AE0F9A"/>
    <w:rsid w:val="00BC3ED3"/>
    <w:rsid w:val="00CA1E41"/>
    <w:rsid w:val="00D22E59"/>
    <w:rsid w:val="00D4012F"/>
    <w:rsid w:val="00D90C49"/>
    <w:rsid w:val="00E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1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12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1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1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E212-3A67-4681-BC5E-A0212703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2015-11-23T11:36:00Z</dcterms:created>
  <dcterms:modified xsi:type="dcterms:W3CDTF">2015-11-24T02:30:00Z</dcterms:modified>
</cp:coreProperties>
</file>