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7A" w:rsidRDefault="00587068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color w:val="000000"/>
          <w:sz w:val="32"/>
        </w:rPr>
        <w:t>股份有限公司（閉鎖性）</w:t>
      </w:r>
    </w:p>
    <w:p w:rsidR="00AD307A" w:rsidRDefault="00587068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</w:rPr>
      </w:pPr>
      <w:bookmarkStart w:id="1" w:name="公司章程"/>
      <w:r>
        <w:rPr>
          <w:rFonts w:ascii="標楷體" w:eastAsia="標楷體" w:hAnsi="標楷體" w:cs="標楷體"/>
          <w:b/>
          <w:bCs/>
          <w:color w:val="000000"/>
          <w:sz w:val="32"/>
        </w:rPr>
        <w:t>公司章程</w:t>
      </w:r>
      <w:bookmarkEnd w:id="1"/>
    </w:p>
    <w:p w:rsidR="00AD307A" w:rsidRDefault="00AD307A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</w:rPr>
      </w:pPr>
    </w:p>
    <w:p w:rsidR="00AD307A" w:rsidRDefault="00587068">
      <w:pPr>
        <w:pStyle w:val="Standard"/>
        <w:snapToGrid w:val="0"/>
        <w:jc w:val="center"/>
        <w:rPr>
          <w:rFonts w:ascii="標楷體" w:eastAsia="標楷體" w:hAnsi="標楷體" w:cs="標楷體"/>
          <w:color w:val="FF0000"/>
          <w:shd w:val="clear" w:color="auto" w:fill="FFFF00"/>
        </w:rPr>
      </w:pPr>
      <w:r>
        <w:rPr>
          <w:rFonts w:ascii="標楷體" w:eastAsia="標楷體" w:hAnsi="標楷體" w:cs="標楷體"/>
          <w:color w:val="FF0000"/>
          <w:shd w:val="clear" w:color="auto" w:fill="FFFF00"/>
        </w:rPr>
        <w:t>「</w:t>
      </w:r>
      <w:r>
        <w:rPr>
          <w:rFonts w:ascii="標楷體" w:eastAsia="標楷體" w:hAnsi="標楷體" w:cs="標楷體"/>
          <w:color w:val="FF0000"/>
          <w:shd w:val="clear" w:color="auto" w:fill="FFFF00"/>
        </w:rPr>
        <w:t>★</w:t>
      </w:r>
      <w:r>
        <w:rPr>
          <w:rFonts w:ascii="標楷體" w:eastAsia="標楷體" w:hAnsi="標楷體" w:cs="標楷體"/>
          <w:color w:val="FF0000"/>
          <w:shd w:val="clear" w:color="auto" w:fill="FFFF00"/>
        </w:rPr>
        <w:t>」標記者為章程必要記載事項；其餘條文應視公司需求決定是否訂明。</w:t>
      </w:r>
    </w:p>
    <w:p w:rsidR="00AD307A" w:rsidRDefault="00AD307A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</w:rPr>
      </w:pPr>
    </w:p>
    <w:p w:rsidR="00AD307A" w:rsidRDefault="00587068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第一章總則</w:t>
      </w:r>
    </w:p>
    <w:tbl>
      <w:tblPr>
        <w:tblW w:w="9526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168"/>
        <w:gridCol w:w="7891"/>
      </w:tblGrid>
      <w:tr w:rsidR="00AD307A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本公司依照公司法規定組織之，定名為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股份有限公司。</w:t>
            </w:r>
          </w:p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本公司英文名稱為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</w:rPr>
              <w:t>。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eastAsia="標楷體"/>
                <w:color w:val="000000"/>
              </w:rPr>
              <w:t>本公司為閉鎖性股份有限公司。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本公司所營事業如下：</w:t>
            </w:r>
          </w:p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</w:p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2. ZZ99999</w:t>
            </w:r>
            <w:r>
              <w:rPr>
                <w:rFonts w:ascii="標楷體" w:eastAsia="標楷體" w:hAnsi="標楷體" w:cs="標楷體"/>
                <w:color w:val="000000"/>
              </w:rPr>
              <w:t>除許可業務外，得經營法令非禁止或限制之業務</w:t>
            </w:r>
            <w:r>
              <w:rPr>
                <w:rFonts w:ascii="標楷體" w:eastAsia="標楷體" w:hAnsi="標楷體" w:cs="標楷體"/>
                <w:color w:val="000000"/>
                <w:spacing w:val="-20"/>
              </w:rPr>
              <w:t>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本公司設總公司於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（縣／市），必要時經董事會之決議得在國內外設立分公司。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本公司之公告方法依照公司法第</w:t>
            </w:r>
            <w:r>
              <w:rPr>
                <w:rFonts w:ascii="標楷體" w:eastAsia="標楷體" w:hAnsi="標楷體" w:cs="標楷體"/>
                <w:color w:val="000000"/>
              </w:rPr>
              <w:t>28</w:t>
            </w:r>
            <w:r>
              <w:rPr>
                <w:rFonts w:ascii="標楷體" w:eastAsia="標楷體" w:hAnsi="標楷體" w:cs="標楷體"/>
                <w:color w:val="000000"/>
              </w:rPr>
              <w:t>條規定辦理。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本公司為業務需要得對外保證。</w:t>
            </w:r>
          </w:p>
        </w:tc>
      </w:tr>
    </w:tbl>
    <w:p w:rsidR="00AD307A" w:rsidRDefault="00AD307A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</w:p>
    <w:p w:rsidR="00AD307A" w:rsidRDefault="00587068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第二章　股份</w:t>
      </w:r>
    </w:p>
    <w:tbl>
      <w:tblPr>
        <w:tblW w:w="9526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168"/>
        <w:gridCol w:w="7891"/>
      </w:tblGrid>
      <w:tr w:rsidR="00AD307A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本公司資本額定為新臺幣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元，分為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股，每股金額新臺幣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元，分次發行。</w:t>
            </w:r>
          </w:p>
          <w:p w:rsidR="00AD307A" w:rsidRDefault="00587068">
            <w:pPr>
              <w:pStyle w:val="Standard"/>
              <w:snapToGrid w:val="0"/>
              <w:ind w:left="480" w:hanging="48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（或</w:t>
            </w:r>
          </w:p>
          <w:p w:rsidR="00AD307A" w:rsidRDefault="00587068">
            <w:pPr>
              <w:pStyle w:val="Standard"/>
              <w:snapToGrid w:val="0"/>
              <w:ind w:left="480" w:hanging="48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本公司採無票面金額股，資本分為</w:t>
            </w:r>
            <w:r>
              <w:rPr>
                <w:rFonts w:ascii="標楷體" w:eastAsia="標楷體" w:hAnsi="標楷體" w:cs="標楷體"/>
                <w:color w:val="000000"/>
              </w:rPr>
              <w:t>_____</w:t>
            </w:r>
            <w:r>
              <w:rPr>
                <w:rFonts w:ascii="標楷體" w:eastAsia="標楷體" w:hAnsi="標楷體" w:cs="標楷體"/>
                <w:color w:val="000000"/>
              </w:rPr>
              <w:t>股，得分次發行。）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ind w:left="480" w:hanging="48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本公司以技術或勞務出資之種類、抵充之數額、核給之股數如下：</w:t>
            </w:r>
          </w:p>
          <w:tbl>
            <w:tblPr>
              <w:tblW w:w="74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84"/>
              <w:gridCol w:w="2484"/>
              <w:gridCol w:w="2495"/>
            </w:tblGrid>
            <w:tr w:rsidR="00AD307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D307A" w:rsidRDefault="0058706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出資種類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D307A" w:rsidRDefault="0058706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抵充之數額</w:t>
                  </w:r>
                </w:p>
              </w:tc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D307A" w:rsidRDefault="0058706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核給之股數</w:t>
                  </w:r>
                </w:p>
              </w:tc>
            </w:tr>
            <w:tr w:rsidR="00AD307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D307A" w:rsidRDefault="00AD307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hd w:val="clear" w:color="auto" w:fill="00FFFF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D307A" w:rsidRDefault="00AD307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hd w:val="clear" w:color="auto" w:fill="00FFFF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D307A" w:rsidRDefault="00AD307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hd w:val="clear" w:color="auto" w:fill="00FFFF"/>
                    </w:rPr>
                  </w:pPr>
                </w:p>
              </w:tc>
            </w:tr>
            <w:tr w:rsidR="00AD307A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D307A" w:rsidRDefault="00AD307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hd w:val="clear" w:color="auto" w:fill="00FFFF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D307A" w:rsidRDefault="00AD307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hd w:val="clear" w:color="auto" w:fill="00FFFF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D307A" w:rsidRDefault="00AD307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hd w:val="clear" w:color="auto" w:fill="00FFFF"/>
                    </w:rPr>
                  </w:pPr>
                </w:p>
              </w:tc>
            </w:tr>
          </w:tbl>
          <w:p w:rsidR="00AD307A" w:rsidRDefault="00AD307A">
            <w:pPr>
              <w:pStyle w:val="Standard"/>
              <w:snapToGrid w:val="0"/>
              <w:ind w:left="480" w:hanging="48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ind w:left="480" w:hanging="480"/>
            </w:pPr>
            <w:r>
              <w:rPr>
                <w:rFonts w:eastAsia="標楷體"/>
                <w:color w:val="000000"/>
              </w:rPr>
              <w:t>股東轉讓股份時，應得其他股東事前之同意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股東名簿記載之變更，於股東常會開會前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30</w:t>
            </w:r>
            <w:r>
              <w:rPr>
                <w:rFonts w:ascii="標楷體" w:eastAsia="標楷體" w:hAnsi="標楷體" w:cs="標楷體"/>
                <w:color w:val="000000"/>
              </w:rPr>
              <w:t>日內，股東臨時會開會前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日內，或公司決定分派股息及紅利或其他利益之基準日前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日內，不得為之。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本公司依公司法收買之庫藏股，轉讓之對象包括符合一定條件（或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本公司員工認股權憑證發給對象，包括符合一定條件（或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本公司發行限制員工權利新股之對象包括符合一定條件（或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</w:tc>
      </w:tr>
    </w:tbl>
    <w:p w:rsidR="00AD307A" w:rsidRDefault="00AD307A">
      <w:pPr>
        <w:pStyle w:val="Standard"/>
      </w:pPr>
    </w:p>
    <w:p w:rsidR="00AD307A" w:rsidRDefault="00587068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第三章　股東會</w:t>
      </w:r>
    </w:p>
    <w:tbl>
      <w:tblPr>
        <w:tblW w:w="9526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168"/>
        <w:gridCol w:w="7891"/>
      </w:tblGrid>
      <w:tr w:rsidR="00AD307A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股東會分常會及臨時會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種。常會每年至少召集一次，於每會計年度終了後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個月內由董事會依法召開；臨時會於必要時依法召集之。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本公司股東會開會時，得以視訊會議或其他經中央主管機關公告之方式為之。</w:t>
            </w:r>
          </w:p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於經全體股東同意，股東就當次股東會議案得以書面方式行使其表決權，而不實際集會。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本公司各股東，每股有一表決權。但公司依法持有自己之股份，無表決權。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股東會之決議，除公司法另有規定外，應有代表已發行股份總數過半數股東之出席，以出席股東表決權過半數之同意行之。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16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本公司僅為政府或法人股東一人所組織時，股東會職權由董事會行使，不適用本章程有關股東會之規定。</w:t>
            </w:r>
          </w:p>
        </w:tc>
      </w:tr>
    </w:tbl>
    <w:p w:rsidR="00AD307A" w:rsidRDefault="00AD307A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</w:p>
    <w:p w:rsidR="00AD307A" w:rsidRDefault="00587068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第四章　董事及監察人</w:t>
      </w:r>
    </w:p>
    <w:tbl>
      <w:tblPr>
        <w:tblW w:w="9526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168"/>
        <w:gridCol w:w="7891"/>
      </w:tblGrid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059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FFFFFF"/>
              </w:rPr>
              <w:t>方案Ａ：公司設董事</w:t>
            </w:r>
            <w:r>
              <w:rPr>
                <w:rFonts w:ascii="標楷體" w:eastAsia="標楷體" w:hAnsi="標楷體" w:cs="標楷體"/>
                <w:color w:val="FFFFFF"/>
              </w:rPr>
              <w:t>3</w:t>
            </w:r>
            <w:r>
              <w:rPr>
                <w:rFonts w:ascii="標楷體" w:eastAsia="標楷體" w:hAnsi="標楷體" w:cs="標楷體"/>
                <w:color w:val="FFFFFF"/>
              </w:rPr>
              <w:t>人以上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17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本公司設董事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人，監察人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人，任期三年，由股東會就有行為能力之人選任，得連選連任。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18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董事會由董事組織之，由三分之二以上董事之出席，及出席董事過半數之同意互選董事長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人及副董事長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人，董事長對外代表公司。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89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董事開會時，董事得由其他董事代理出席。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59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  <w:r>
              <w:rPr>
                <w:rFonts w:ascii="標楷體" w:eastAsia="標楷體" w:hAnsi="標楷體" w:cs="標楷體"/>
                <w:color w:val="FFFFFF"/>
              </w:rPr>
              <w:t>方案Ｂ：公司設董事</w:t>
            </w:r>
            <w:r>
              <w:rPr>
                <w:rFonts w:ascii="標楷體" w:eastAsia="標楷體" w:hAnsi="標楷體" w:cs="標楷體"/>
                <w:color w:val="FFFFFF"/>
              </w:rPr>
              <w:t>1</w:t>
            </w:r>
            <w:r>
              <w:rPr>
                <w:rFonts w:ascii="標楷體" w:eastAsia="標楷體" w:hAnsi="標楷體" w:cs="標楷體"/>
                <w:color w:val="FFFFFF"/>
              </w:rPr>
              <w:t>人，不設董事會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17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本公司不設董事會。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18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本公司設董事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人，監察人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人，任期三年，由股東會就有行為能力之人選任，連選得連任，並以其為董事長，董事會之職權並由該董事行使，不適用公司法有關董事會之規定。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059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  <w:r>
              <w:rPr>
                <w:rFonts w:ascii="標楷體" w:eastAsia="標楷體" w:hAnsi="標楷體" w:cs="標楷體"/>
                <w:color w:val="FFFFFF"/>
              </w:rPr>
              <w:t>方案Ｃ：公司設董事</w:t>
            </w:r>
            <w:r>
              <w:rPr>
                <w:rFonts w:ascii="標楷體" w:eastAsia="標楷體" w:hAnsi="標楷體" w:cs="標楷體"/>
                <w:color w:val="FFFFFF"/>
              </w:rPr>
              <w:t>2</w:t>
            </w:r>
            <w:r>
              <w:rPr>
                <w:rFonts w:ascii="標楷體" w:eastAsia="標楷體" w:hAnsi="標楷體" w:cs="標楷體"/>
                <w:color w:val="FFFFFF"/>
              </w:rPr>
              <w:t>人，不設董事會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17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本公司不設董事會。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18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本公司設董事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人，監察人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人，任期三年，由股東會就有行為能力之人選任，連選得連任，並準用公司法有關董事會之規定。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strike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strike/>
                <w:color w:val="000000"/>
              </w:rPr>
            </w:pP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strike/>
                <w:color w:val="000000"/>
              </w:rPr>
            </w:pP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strike/>
                <w:color w:val="00000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19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於經本公司全體董事同意，董事就當次董事會議案得以書面方式行使表決權，而不實際集會。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20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全體董事及監察人之報酬，如下：＿＿＿。</w:t>
            </w:r>
          </w:p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（或　全體董事及監察人之報酬，授權董事會議依同業通常水準支給之。）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c>
          <w:tcPr>
            <w:tcW w:w="4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21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本公司發起人及股東會選任董事及監察人之方式為：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</w:tr>
    </w:tbl>
    <w:p w:rsidR="00AD307A" w:rsidRDefault="00587068">
      <w:pPr>
        <w:pStyle w:val="Standard"/>
        <w:pageBreakBefore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lastRenderedPageBreak/>
        <w:t>第五章　經理人</w:t>
      </w:r>
    </w:p>
    <w:tbl>
      <w:tblPr>
        <w:tblW w:w="966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168"/>
        <w:gridCol w:w="8032"/>
      </w:tblGrid>
      <w:tr w:rsidR="00AD307A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22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本公司得設經理人，其委任、解任及報酬，依照公司法第</w:t>
            </w:r>
            <w:r>
              <w:rPr>
                <w:rFonts w:ascii="標楷體" w:eastAsia="標楷體" w:hAnsi="標楷體" w:cs="標楷體"/>
                <w:color w:val="000000"/>
              </w:rPr>
              <w:t>29</w:t>
            </w:r>
            <w:r>
              <w:rPr>
                <w:rFonts w:ascii="標楷體" w:eastAsia="標楷體" w:hAnsi="標楷體" w:cs="標楷體"/>
                <w:color w:val="000000"/>
              </w:rPr>
              <w:t>條規定辦理。</w:t>
            </w:r>
          </w:p>
        </w:tc>
      </w:tr>
    </w:tbl>
    <w:p w:rsidR="00AD307A" w:rsidRDefault="00AD307A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</w:p>
    <w:p w:rsidR="00AD307A" w:rsidRDefault="00587068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第六章　會計</w:t>
      </w:r>
    </w:p>
    <w:tbl>
      <w:tblPr>
        <w:tblW w:w="966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168"/>
        <w:gridCol w:w="8032"/>
      </w:tblGrid>
      <w:tr w:rsidR="00AD307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9200" w:type="dxa"/>
            <w:gridSpan w:val="2"/>
            <w:shd w:val="clear" w:color="auto" w:fill="0D0D0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eastAsia="標楷體"/>
                <w:color w:val="FFFFFF"/>
              </w:rPr>
              <w:t>方案Ａ：</w:t>
            </w:r>
            <w:r>
              <w:rPr>
                <w:rFonts w:eastAsia="標楷體"/>
                <w:color w:val="FFFFFF"/>
              </w:rPr>
              <w:t>1</w:t>
            </w:r>
            <w:r>
              <w:rPr>
                <w:rFonts w:eastAsia="標楷體"/>
                <w:color w:val="FFFFFF"/>
              </w:rPr>
              <w:t>年</w:t>
            </w:r>
            <w:r>
              <w:rPr>
                <w:rFonts w:eastAsia="標楷體"/>
                <w:color w:val="FFFFFF"/>
              </w:rPr>
              <w:t>1</w:t>
            </w:r>
            <w:r>
              <w:rPr>
                <w:rFonts w:eastAsia="標楷體"/>
                <w:color w:val="FFFFFF"/>
              </w:rPr>
              <w:t>次盈餘分派或虧損撥補之公司適用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eastAsia="標楷體"/>
                <w:b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23</w:t>
            </w:r>
            <w:r>
              <w:rPr>
                <w:rFonts w:eastAsia="標楷體"/>
                <w:color w:val="000000"/>
              </w:rPr>
              <w:t>條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8032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本公司每屆會計年度終了，董事會應編造營業報告書、財務報表及盈餘分派或虧損撥補之議案，並提請股東常會承認。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eastAsia="標楷體"/>
                <w:b/>
                <w:color w:val="000000"/>
                <w:u w:val="single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0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FFFFFF"/>
                <w:u w:val="single"/>
              </w:rPr>
            </w:pPr>
          </w:p>
        </w:tc>
        <w:tc>
          <w:tcPr>
            <w:tcW w:w="9200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FFFFFF"/>
              </w:rPr>
              <w:t>方案Ｂ：</w:t>
            </w:r>
            <w:r>
              <w:rPr>
                <w:rFonts w:ascii="標楷體" w:eastAsia="標楷體" w:hAnsi="標楷體" w:cs="標楷體"/>
                <w:color w:val="FFFFFF"/>
              </w:rPr>
              <w:t>1</w:t>
            </w:r>
            <w:r>
              <w:rPr>
                <w:rFonts w:ascii="標楷體" w:eastAsia="標楷體" w:hAnsi="標楷體" w:cs="標楷體"/>
                <w:color w:val="FFFFFF"/>
              </w:rPr>
              <w:t>年</w:t>
            </w:r>
            <w:r>
              <w:rPr>
                <w:rFonts w:ascii="標楷體" w:eastAsia="標楷體" w:hAnsi="標楷體" w:cs="標楷體"/>
                <w:color w:val="FFFFFF"/>
              </w:rPr>
              <w:t>2</w:t>
            </w:r>
            <w:r>
              <w:rPr>
                <w:rFonts w:ascii="標楷體" w:eastAsia="標楷體" w:hAnsi="標楷體" w:cs="標楷體"/>
                <w:color w:val="FFFFFF"/>
              </w:rPr>
              <w:t>次盈餘分派或虧損撥補之公司適用</w:t>
            </w:r>
            <w:r>
              <w:rPr>
                <w:rFonts w:ascii="標楷體" w:eastAsia="標楷體" w:hAnsi="標楷體" w:cs="標楷體"/>
                <w:b/>
                <w:color w:val="FFFFFF"/>
              </w:rPr>
              <w:t>：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本公司盈餘分派或虧損撥補，於每半會計年度終了後為之。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本公司前半會計年度有盈餘分派或虧損撥補議案者，應於後半會計年度終了前，連同營業報告書及財務報表交監察人查核後，提董事會決議。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本公司每屆會計年度終了，董事會應編造營業報告書、財務報表及盈餘分派或虧損撥補之議案，並提請股東常會承認。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200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  <w:r>
              <w:rPr>
                <w:rFonts w:ascii="標楷體" w:eastAsia="標楷體" w:hAnsi="標楷體" w:cs="標楷體"/>
                <w:color w:val="FFFFFF"/>
              </w:rPr>
              <w:t>方案Ｃ：</w:t>
            </w:r>
            <w:r>
              <w:rPr>
                <w:rFonts w:ascii="標楷體" w:eastAsia="標楷體" w:hAnsi="標楷體" w:cs="標楷體"/>
                <w:color w:val="FFFFFF"/>
              </w:rPr>
              <w:t>1</w:t>
            </w:r>
            <w:r>
              <w:rPr>
                <w:rFonts w:ascii="標楷體" w:eastAsia="標楷體" w:hAnsi="標楷體" w:cs="標楷體"/>
                <w:color w:val="FFFFFF"/>
              </w:rPr>
              <w:t>年</w:t>
            </w:r>
            <w:r>
              <w:rPr>
                <w:rFonts w:ascii="標楷體" w:eastAsia="標楷體" w:hAnsi="標楷體" w:cs="標楷體"/>
                <w:color w:val="FFFFFF"/>
              </w:rPr>
              <w:t>4</w:t>
            </w:r>
            <w:r>
              <w:rPr>
                <w:rFonts w:ascii="標楷體" w:eastAsia="標楷體" w:hAnsi="標楷體" w:cs="標楷體"/>
                <w:color w:val="FFFFFF"/>
              </w:rPr>
              <w:t>次盈餘分派或虧損撥補之公司適用：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本公司盈餘分派或虧損撥補，於每季終了後為之。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本公司前三季有盈餘分派或虧損撥補議案者，應於次季終了前，連同營業報告書及財務報表交監察人查核後，提董事會決議。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本公司每屆會計年度終了，董事會應編造營業報告書、財務報表及盈餘分派或虧損撥補之議案，並提請股東常會承認。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3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26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本公司股息定為年息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分，但公司無盈餘時，不得分派。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27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公司年度如有獲利，應提撥</w:t>
            </w:r>
            <w:r>
              <w:rPr>
                <w:rFonts w:ascii="標楷體" w:eastAsia="標楷體" w:hAnsi="標楷體" w:cs="標楷體"/>
                <w:color w:val="000000"/>
              </w:rPr>
              <w:t>___%</w:t>
            </w:r>
            <w:r>
              <w:rPr>
                <w:rFonts w:ascii="標楷體" w:eastAsia="標楷體" w:hAnsi="標楷體" w:cs="標楷體"/>
                <w:color w:val="000000"/>
              </w:rPr>
              <w:t>（或</w:t>
            </w:r>
            <w:r>
              <w:rPr>
                <w:rFonts w:ascii="標楷體" w:eastAsia="標楷體" w:hAnsi="標楷體" w:cs="標楷體"/>
                <w:color w:val="000000"/>
              </w:rPr>
              <w:t>___</w:t>
            </w:r>
            <w:r>
              <w:rPr>
                <w:rFonts w:ascii="標楷體" w:eastAsia="標楷體" w:hAnsi="標楷體" w:cs="標楷體"/>
                <w:color w:val="000000"/>
              </w:rPr>
              <w:t>元）為員工酬勞。但公司尚有累積虧損時，應預先保留彌補數額。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28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本公司分派員工酬勞之對象包括符合一定條件（或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29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公司年度總決算如有盈餘，應先提繳稅款、彌補累積虧損，次提</w:t>
            </w:r>
            <w:r>
              <w:rPr>
                <w:rFonts w:ascii="標楷體" w:eastAsia="標楷體" w:hAnsi="標楷體" w:cs="標楷體"/>
                <w:color w:val="000000"/>
              </w:rPr>
              <w:t>10%</w:t>
            </w:r>
            <w:r>
              <w:rPr>
                <w:rFonts w:ascii="標楷體" w:eastAsia="標楷體" w:hAnsi="標楷體" w:cs="標楷體"/>
                <w:color w:val="000000"/>
              </w:rPr>
              <w:t>為法定盈餘公積，但法定盈餘公積已達實收資本額時，不在此限。其餘除派付股息外，如尚有盈餘，再由股東會決議分派股東紅利。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AD307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30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本章程未訂事項，悉依公司法規定辦理。</w:t>
            </w:r>
          </w:p>
        </w:tc>
      </w:tr>
      <w:tr w:rsidR="00AD307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31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07A" w:rsidRDefault="0058706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本章程訂立於民國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日。</w:t>
            </w:r>
          </w:p>
        </w:tc>
      </w:tr>
    </w:tbl>
    <w:p w:rsidR="00AD307A" w:rsidRDefault="00AD307A">
      <w:pPr>
        <w:pStyle w:val="Standard"/>
        <w:rPr>
          <w:color w:val="000000"/>
        </w:rPr>
      </w:pPr>
    </w:p>
    <w:sectPr w:rsidR="00AD307A">
      <w:footerReference w:type="default" r:id="rId8"/>
      <w:pgSz w:w="11906" w:h="16838"/>
      <w:pgMar w:top="907" w:right="1134" w:bottom="851" w:left="85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68" w:rsidRDefault="00587068">
      <w:r>
        <w:separator/>
      </w:r>
    </w:p>
  </w:endnote>
  <w:endnote w:type="continuationSeparator" w:id="0">
    <w:p w:rsidR="00587068" w:rsidRDefault="0058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7B" w:rsidRDefault="00587068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12414F">
      <w:rPr>
        <w:noProof/>
      </w:rPr>
      <w:t>2</w:t>
    </w:r>
    <w:r>
      <w:fldChar w:fldCharType="end"/>
    </w:r>
  </w:p>
  <w:p w:rsidR="001C7D7B" w:rsidRDefault="00587068">
    <w:pPr>
      <w:pStyle w:val="a8"/>
      <w:jc w:val="right"/>
    </w:pPr>
    <w:r>
      <w:t>1080527</w:t>
    </w:r>
    <w:r>
      <w:t>修正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68" w:rsidRDefault="00587068">
      <w:r>
        <w:rPr>
          <w:color w:val="000000"/>
        </w:rPr>
        <w:separator/>
      </w:r>
    </w:p>
  </w:footnote>
  <w:footnote w:type="continuationSeparator" w:id="0">
    <w:p w:rsidR="00587068" w:rsidRDefault="00587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F0E"/>
    <w:multiLevelType w:val="multilevel"/>
    <w:tmpl w:val="428EBC2C"/>
    <w:styleLink w:val="WW8Num1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45EC38EB"/>
    <w:multiLevelType w:val="multilevel"/>
    <w:tmpl w:val="AD063054"/>
    <w:styleLink w:val="WW8Num2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307A"/>
    <w:rsid w:val="0012414F"/>
    <w:rsid w:val="00587068"/>
    <w:rsid w:val="00A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styleId="aa">
    <w:name w:val="annotation subject"/>
    <w:basedOn w:val="a5"/>
    <w:next w:val="a5"/>
    <w:rPr>
      <w:b/>
      <w:bCs/>
    </w:rPr>
  </w:style>
  <w:style w:type="paragraph" w:customStyle="1" w:styleId="Endnote">
    <w:name w:val="Endnote"/>
    <w:basedOn w:val="Standard"/>
    <w:pPr>
      <w:snapToGrid w:val="0"/>
    </w:p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ab">
    <w:name w:val="註解文字 字元"/>
    <w:rPr>
      <w:rFonts w:cs="Times New Roman"/>
      <w:sz w:val="24"/>
      <w:szCs w:val="24"/>
    </w:rPr>
  </w:style>
  <w:style w:type="character" w:styleId="ac">
    <w:name w:val="annotation reference"/>
    <w:rPr>
      <w:rFonts w:cs="Times New Roman"/>
      <w:sz w:val="18"/>
      <w:szCs w:val="18"/>
    </w:rPr>
  </w:style>
  <w:style w:type="character" w:customStyle="1" w:styleId="ad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af0">
    <w:name w:val="註解主旨 字元"/>
    <w:rPr>
      <w:rFonts w:cs="Times New Roman"/>
      <w:b/>
      <w:bCs/>
      <w:kern w:val="3"/>
      <w:sz w:val="24"/>
      <w:szCs w:val="24"/>
    </w:rPr>
  </w:style>
  <w:style w:type="character" w:customStyle="1" w:styleId="af1">
    <w:name w:val="章節附註文字 字元"/>
    <w:rPr>
      <w:kern w:val="3"/>
      <w:sz w:val="24"/>
      <w:szCs w:val="24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styleId="aa">
    <w:name w:val="annotation subject"/>
    <w:basedOn w:val="a5"/>
    <w:next w:val="a5"/>
    <w:rPr>
      <w:b/>
      <w:bCs/>
    </w:rPr>
  </w:style>
  <w:style w:type="paragraph" w:customStyle="1" w:styleId="Endnote">
    <w:name w:val="Endnote"/>
    <w:basedOn w:val="Standard"/>
    <w:pPr>
      <w:snapToGrid w:val="0"/>
    </w:p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ab">
    <w:name w:val="註解文字 字元"/>
    <w:rPr>
      <w:rFonts w:cs="Times New Roman"/>
      <w:sz w:val="24"/>
      <w:szCs w:val="24"/>
    </w:rPr>
  </w:style>
  <w:style w:type="character" w:styleId="ac">
    <w:name w:val="annotation reference"/>
    <w:rPr>
      <w:rFonts w:cs="Times New Roman"/>
      <w:sz w:val="18"/>
      <w:szCs w:val="18"/>
    </w:rPr>
  </w:style>
  <w:style w:type="character" w:customStyle="1" w:styleId="ad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af0">
    <w:name w:val="註解主旨 字元"/>
    <w:rPr>
      <w:rFonts w:cs="Times New Roman"/>
      <w:b/>
      <w:bCs/>
      <w:kern w:val="3"/>
      <w:sz w:val="24"/>
      <w:szCs w:val="24"/>
    </w:rPr>
  </w:style>
  <w:style w:type="character" w:customStyle="1" w:styleId="af1">
    <w:name w:val="章節附註文字 字元"/>
    <w:rPr>
      <w:kern w:val="3"/>
      <w:sz w:val="24"/>
      <w:szCs w:val="24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Company>Ministry of Economic Affairs,R.O.C.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股份有限公司公司章程</dc:title>
  <dc:subject>股份有限公司公司章程(A4直印)</dc:subject>
  <dc:creator>經濟部商業司</dc:creator>
  <cp:keywords>股份有限公司公司章程</cp:keywords>
  <cp:lastModifiedBy>朱家慧</cp:lastModifiedBy>
  <cp:revision>2</cp:revision>
  <cp:lastPrinted>2021-09-28T02:09:00Z</cp:lastPrinted>
  <dcterms:created xsi:type="dcterms:W3CDTF">2021-09-28T02:10:00Z</dcterms:created>
  <dcterms:modified xsi:type="dcterms:W3CDTF">2021-09-28T02:10:00Z</dcterms:modified>
</cp:coreProperties>
</file>