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0C2F" w14:textId="77777777" w:rsidR="00DC2322" w:rsidRDefault="00E51B3A" w:rsidP="00206F35">
      <w:pPr>
        <w:jc w:val="both"/>
        <w:rPr>
          <w:rFonts w:ascii="新細明體" w:eastAsia="標楷體" w:hAnsi="新細明體"/>
          <w:b/>
          <w:sz w:val="36"/>
          <w:szCs w:val="36"/>
        </w:rPr>
      </w:pPr>
      <w:r>
        <w:rPr>
          <w:rFonts w:ascii="標楷體" w:eastAsia="標楷體" w:hAnsi="標楷體" w:hint="eastAsia"/>
          <w:b/>
          <w:sz w:val="36"/>
          <w:szCs w:val="36"/>
        </w:rPr>
        <w:t xml:space="preserve">  </w:t>
      </w:r>
      <w:bookmarkStart w:id="0" w:name="_Hlk25294629"/>
      <w:r>
        <w:rPr>
          <w:rFonts w:ascii="標楷體" w:eastAsia="標楷體" w:hAnsi="標楷體" w:hint="eastAsia"/>
          <w:b/>
          <w:sz w:val="36"/>
          <w:szCs w:val="36"/>
        </w:rPr>
        <w:t xml:space="preserve"> </w:t>
      </w:r>
      <w:r w:rsidRPr="008A32E2">
        <w:rPr>
          <w:rFonts w:ascii="標楷體" w:eastAsia="標楷體" w:hAnsi="標楷體" w:hint="eastAsia"/>
          <w:b/>
          <w:sz w:val="36"/>
          <w:szCs w:val="36"/>
        </w:rPr>
        <w:t>桃園市政府</w:t>
      </w:r>
      <w:r>
        <w:rPr>
          <w:rFonts w:ascii="標楷體" w:eastAsia="標楷體" w:hAnsi="標楷體" w:hint="eastAsia"/>
          <w:b/>
          <w:sz w:val="36"/>
          <w:szCs w:val="36"/>
        </w:rPr>
        <w:t>委託</w:t>
      </w:r>
      <w:r w:rsidRPr="008A32E2">
        <w:rPr>
          <w:rFonts w:ascii="標楷體" w:eastAsia="標楷體" w:hAnsi="標楷體" w:hint="eastAsia"/>
          <w:b/>
          <w:sz w:val="36"/>
          <w:szCs w:val="36"/>
        </w:rPr>
        <w:t>民間團體</w:t>
      </w:r>
      <w:r>
        <w:rPr>
          <w:rFonts w:ascii="標楷體" w:eastAsia="標楷體" w:hAnsi="標楷體" w:hint="eastAsia"/>
          <w:b/>
          <w:sz w:val="36"/>
          <w:szCs w:val="36"/>
        </w:rPr>
        <w:t>調解</w:t>
      </w:r>
      <w:r w:rsidRPr="008A32E2">
        <w:rPr>
          <w:rFonts w:ascii="新細明體" w:eastAsia="標楷體" w:hAnsi="新細明體" w:hint="eastAsia"/>
          <w:b/>
          <w:sz w:val="36"/>
          <w:szCs w:val="36"/>
        </w:rPr>
        <w:t>勞資爭議</w:t>
      </w:r>
      <w:r>
        <w:rPr>
          <w:rFonts w:ascii="新細明體" w:eastAsia="標楷體" w:hAnsi="新細明體" w:hint="eastAsia"/>
          <w:b/>
          <w:sz w:val="36"/>
          <w:szCs w:val="36"/>
        </w:rPr>
        <w:t>考核</w:t>
      </w:r>
      <w:r w:rsidRPr="008A32E2">
        <w:rPr>
          <w:rFonts w:ascii="新細明體" w:eastAsia="標楷體" w:hAnsi="新細明體" w:hint="eastAsia"/>
          <w:b/>
          <w:sz w:val="36"/>
          <w:szCs w:val="36"/>
        </w:rPr>
        <w:t>要點</w:t>
      </w:r>
      <w:bookmarkEnd w:id="0"/>
    </w:p>
    <w:p w14:paraId="77A870F6" w14:textId="4C19D689" w:rsidR="001E2233" w:rsidRPr="001E2233" w:rsidRDefault="000B5377" w:rsidP="001E2233">
      <w:pPr>
        <w:jc w:val="right"/>
        <w:rPr>
          <w:rFonts w:ascii="標楷體" w:eastAsia="標楷體" w:hAnsi="標楷體"/>
          <w:bCs/>
          <w:sz w:val="20"/>
          <w:szCs w:val="20"/>
        </w:rPr>
      </w:pPr>
      <w:r>
        <w:rPr>
          <w:rFonts w:ascii="新細明體" w:eastAsia="標楷體" w:hAnsi="新細明體" w:hint="eastAsia"/>
          <w:b/>
          <w:sz w:val="36"/>
          <w:szCs w:val="36"/>
        </w:rPr>
        <w:t xml:space="preserve">                     </w:t>
      </w:r>
      <w:r w:rsidRPr="001E2233">
        <w:rPr>
          <w:rFonts w:ascii="新細明體" w:eastAsia="標楷體" w:hAnsi="新細明體" w:hint="eastAsia"/>
          <w:bCs/>
          <w:sz w:val="36"/>
          <w:szCs w:val="36"/>
        </w:rPr>
        <w:t xml:space="preserve"> </w:t>
      </w:r>
      <w:r w:rsidRPr="001E2233">
        <w:rPr>
          <w:rFonts w:ascii="標楷體" w:eastAsia="標楷體" w:hAnsi="標楷體" w:hint="eastAsia"/>
          <w:bCs/>
          <w:sz w:val="20"/>
          <w:szCs w:val="20"/>
        </w:rPr>
        <w:t xml:space="preserve">  </w:t>
      </w:r>
      <w:r w:rsidR="001E2233" w:rsidRPr="001E2233">
        <w:rPr>
          <w:rFonts w:ascii="標楷體" w:eastAsia="標楷體" w:hAnsi="標楷體" w:hint="eastAsia"/>
          <w:bCs/>
          <w:sz w:val="20"/>
          <w:szCs w:val="20"/>
        </w:rPr>
        <w:t>104年6月18日府勞資字第1040155651號函訂頒</w:t>
      </w:r>
    </w:p>
    <w:p w14:paraId="1D8D5A2B" w14:textId="487032D2" w:rsidR="00E51B3A" w:rsidRPr="001E2233" w:rsidRDefault="00E51B3A" w:rsidP="001E2233">
      <w:pPr>
        <w:jc w:val="right"/>
        <w:rPr>
          <w:rFonts w:ascii="標楷體" w:eastAsia="標楷體" w:hAnsi="標楷體"/>
          <w:bCs/>
          <w:sz w:val="20"/>
          <w:szCs w:val="20"/>
        </w:rPr>
      </w:pPr>
      <w:r w:rsidRPr="001E2233">
        <w:rPr>
          <w:rFonts w:ascii="標楷體" w:eastAsia="標楷體" w:hAnsi="標楷體" w:hint="eastAsia"/>
          <w:bCs/>
          <w:sz w:val="20"/>
          <w:szCs w:val="20"/>
        </w:rPr>
        <w:t>10</w:t>
      </w:r>
      <w:r w:rsidR="00B16E5B" w:rsidRPr="001E2233">
        <w:rPr>
          <w:rFonts w:ascii="標楷體" w:eastAsia="標楷體" w:hAnsi="標楷體"/>
          <w:bCs/>
          <w:sz w:val="20"/>
          <w:szCs w:val="20"/>
        </w:rPr>
        <w:t>9</w:t>
      </w:r>
      <w:r w:rsidRPr="001E2233">
        <w:rPr>
          <w:rFonts w:ascii="標楷體" w:eastAsia="標楷體" w:hAnsi="標楷體" w:hint="eastAsia"/>
          <w:bCs/>
          <w:sz w:val="20"/>
          <w:szCs w:val="20"/>
        </w:rPr>
        <w:t>年</w:t>
      </w:r>
      <w:r w:rsidR="009D5192" w:rsidRPr="001E2233">
        <w:rPr>
          <w:rFonts w:ascii="標楷體" w:eastAsia="標楷體" w:hAnsi="標楷體"/>
          <w:bCs/>
          <w:sz w:val="20"/>
          <w:szCs w:val="20"/>
        </w:rPr>
        <w:t>2</w:t>
      </w:r>
      <w:r w:rsidRPr="001E2233">
        <w:rPr>
          <w:rFonts w:ascii="標楷體" w:eastAsia="標楷體" w:hAnsi="標楷體" w:hint="eastAsia"/>
          <w:bCs/>
          <w:sz w:val="20"/>
          <w:szCs w:val="20"/>
        </w:rPr>
        <w:t>月</w:t>
      </w:r>
      <w:r w:rsidR="00745626">
        <w:rPr>
          <w:rFonts w:ascii="標楷體" w:eastAsia="標楷體" w:hAnsi="標楷體"/>
          <w:bCs/>
          <w:sz w:val="20"/>
          <w:szCs w:val="20"/>
        </w:rPr>
        <w:t>26</w:t>
      </w:r>
      <w:r w:rsidRPr="001E2233">
        <w:rPr>
          <w:rFonts w:ascii="標楷體" w:eastAsia="標楷體" w:hAnsi="標楷體" w:hint="eastAsia"/>
          <w:bCs/>
          <w:sz w:val="20"/>
          <w:szCs w:val="20"/>
        </w:rPr>
        <w:t>日府勞資字第</w:t>
      </w:r>
      <w:r w:rsidR="00BC06CE" w:rsidRPr="001E2233">
        <w:rPr>
          <w:rStyle w:val="dialogtextdisabled1"/>
          <w:rFonts w:ascii="標楷體" w:eastAsia="標楷體" w:hAnsi="標楷體"/>
          <w:bCs/>
          <w:color w:val="auto"/>
          <w:sz w:val="20"/>
          <w:szCs w:val="20"/>
        </w:rPr>
        <w:t xml:space="preserve"> </w:t>
      </w:r>
      <w:r w:rsidR="00745626">
        <w:rPr>
          <w:rStyle w:val="dialogtextdisabled1"/>
          <w:rFonts w:ascii="標楷體" w:eastAsia="標楷體" w:hAnsi="標楷體"/>
          <w:bCs/>
          <w:color w:val="auto"/>
          <w:sz w:val="20"/>
          <w:szCs w:val="20"/>
        </w:rPr>
        <w:t>1090022551</w:t>
      </w:r>
      <w:r w:rsidRPr="001E2233">
        <w:rPr>
          <w:rFonts w:ascii="標楷體" w:eastAsia="標楷體" w:hAnsi="標楷體" w:hint="eastAsia"/>
          <w:bCs/>
          <w:sz w:val="20"/>
          <w:szCs w:val="20"/>
        </w:rPr>
        <w:t>號</w:t>
      </w:r>
      <w:r w:rsidR="001E2233" w:rsidRPr="001E2233">
        <w:rPr>
          <w:rFonts w:ascii="標楷體" w:eastAsia="標楷體" w:hAnsi="標楷體" w:hint="eastAsia"/>
          <w:bCs/>
          <w:sz w:val="20"/>
          <w:szCs w:val="20"/>
        </w:rPr>
        <w:t>令修正</w:t>
      </w:r>
    </w:p>
    <w:p w14:paraId="254E9CFF" w14:textId="51589D02" w:rsidR="00230F9B" w:rsidRDefault="00E51B3A" w:rsidP="00206F35">
      <w:pPr>
        <w:pStyle w:val="a4"/>
        <w:numPr>
          <w:ilvl w:val="0"/>
          <w:numId w:val="11"/>
        </w:numPr>
        <w:tabs>
          <w:tab w:val="left" w:pos="567"/>
        </w:tabs>
        <w:spacing w:line="500" w:lineRule="exact"/>
        <w:ind w:leftChars="0" w:left="567" w:hanging="567"/>
        <w:jc w:val="both"/>
        <w:rPr>
          <w:rFonts w:ascii="標楷體" w:eastAsia="標楷體" w:hAnsi="標楷體"/>
          <w:sz w:val="28"/>
          <w:szCs w:val="28"/>
        </w:rPr>
      </w:pPr>
      <w:r w:rsidRPr="00230F9B">
        <w:rPr>
          <w:rFonts w:ascii="標楷體" w:eastAsia="標楷體" w:hAnsi="標楷體" w:hint="eastAsia"/>
          <w:sz w:val="28"/>
          <w:szCs w:val="28"/>
        </w:rPr>
        <w:t>桃園市政府（以下簡稱本府）為考核受委託調解勞資爭議之民間    團體，特訂定本要點</w:t>
      </w:r>
      <w:r w:rsidR="00230F9B">
        <w:rPr>
          <w:rFonts w:ascii="標楷體" w:eastAsia="標楷體" w:hAnsi="標楷體" w:hint="eastAsia"/>
          <w:sz w:val="28"/>
          <w:szCs w:val="28"/>
        </w:rPr>
        <w:t>。</w:t>
      </w:r>
    </w:p>
    <w:p w14:paraId="51BFF72A" w14:textId="4DBB5E40" w:rsidR="00E51B3A" w:rsidRDefault="00E51B3A" w:rsidP="00206F35">
      <w:pPr>
        <w:pStyle w:val="a4"/>
        <w:numPr>
          <w:ilvl w:val="0"/>
          <w:numId w:val="11"/>
        </w:numPr>
        <w:tabs>
          <w:tab w:val="left" w:pos="567"/>
        </w:tabs>
        <w:spacing w:line="500" w:lineRule="exact"/>
        <w:ind w:leftChars="0" w:left="567" w:hanging="567"/>
        <w:jc w:val="both"/>
        <w:rPr>
          <w:rFonts w:ascii="標楷體" w:eastAsia="標楷體" w:hAnsi="標楷體"/>
          <w:sz w:val="28"/>
          <w:szCs w:val="28"/>
        </w:rPr>
      </w:pPr>
      <w:r w:rsidRPr="00230F9B">
        <w:rPr>
          <w:rFonts w:ascii="標楷體" w:eastAsia="標楷體" w:hAnsi="標楷體" w:hint="eastAsia"/>
          <w:sz w:val="28"/>
          <w:szCs w:val="28"/>
        </w:rPr>
        <w:t>本要點之考核對象為本府當年度委託調解勞資爭議案件之民間團     體(以下簡稱民間團體)。</w:t>
      </w:r>
    </w:p>
    <w:p w14:paraId="32EB60FA" w14:textId="6E908D2F" w:rsidR="00E51B3A" w:rsidRPr="00230F9B" w:rsidRDefault="00E51B3A" w:rsidP="00206F35">
      <w:pPr>
        <w:pStyle w:val="a4"/>
        <w:numPr>
          <w:ilvl w:val="0"/>
          <w:numId w:val="11"/>
        </w:numPr>
        <w:tabs>
          <w:tab w:val="left" w:pos="567"/>
        </w:tabs>
        <w:spacing w:line="500" w:lineRule="exact"/>
        <w:ind w:leftChars="0" w:left="567" w:hanging="567"/>
        <w:jc w:val="both"/>
        <w:rPr>
          <w:rFonts w:ascii="標楷體" w:eastAsia="標楷體" w:hAnsi="標楷體"/>
          <w:sz w:val="28"/>
          <w:szCs w:val="28"/>
        </w:rPr>
      </w:pPr>
      <w:r w:rsidRPr="00230F9B">
        <w:rPr>
          <w:rFonts w:ascii="標楷體" w:eastAsia="標楷體" w:hAnsi="標楷體" w:cs="Times New Roman" w:hint="eastAsia"/>
          <w:sz w:val="28"/>
          <w:szCs w:val="28"/>
        </w:rPr>
        <w:t>本府為辦理本要點之考核，得組成考核小組，置委員五人，其中召集人一人，由本府勞動局副局長兼任，副召集人一人，由勞動局勞資關係科科長兼任，其餘委員由本府聘任專家學者三人擔</w:t>
      </w:r>
      <w:r w:rsidR="000415DC" w:rsidRPr="00230F9B">
        <w:rPr>
          <w:rFonts w:ascii="標楷體" w:eastAsia="標楷體" w:hAnsi="標楷體" w:cs="Times New Roman" w:hint="eastAsia"/>
          <w:sz w:val="28"/>
          <w:szCs w:val="28"/>
        </w:rPr>
        <w:t>任</w:t>
      </w:r>
      <w:r w:rsidRPr="00230F9B">
        <w:rPr>
          <w:rFonts w:ascii="標楷體" w:eastAsia="標楷體" w:hAnsi="標楷體" w:cs="Times New Roman" w:hint="eastAsia"/>
          <w:sz w:val="28"/>
          <w:szCs w:val="28"/>
        </w:rPr>
        <w:t>。前項委員均為無給職。</w:t>
      </w:r>
    </w:p>
    <w:p w14:paraId="5CB08C6B" w14:textId="1CBC7D5B" w:rsidR="00E51B3A" w:rsidRPr="00206F35" w:rsidRDefault="00135ED6" w:rsidP="00206F35">
      <w:pPr>
        <w:pStyle w:val="a4"/>
        <w:numPr>
          <w:ilvl w:val="0"/>
          <w:numId w:val="11"/>
        </w:numPr>
        <w:tabs>
          <w:tab w:val="left" w:pos="567"/>
        </w:tabs>
        <w:spacing w:line="500" w:lineRule="exact"/>
        <w:ind w:leftChars="0" w:left="567" w:hanging="567"/>
        <w:jc w:val="both"/>
        <w:rPr>
          <w:rFonts w:ascii="標楷體" w:eastAsia="標楷體" w:hAnsi="標楷體" w:cs="Times New Roman"/>
          <w:sz w:val="28"/>
          <w:szCs w:val="28"/>
        </w:rPr>
      </w:pPr>
      <w:r w:rsidRPr="00135ED6">
        <w:rPr>
          <w:rFonts w:ascii="標楷體" w:eastAsia="標楷體" w:hAnsi="標楷體" w:cs="Times New Roman" w:hint="eastAsia"/>
          <w:sz w:val="28"/>
          <w:szCs w:val="28"/>
        </w:rPr>
        <w:t>考核小組於每年八月實地考核民間團體，並以前一年度委託調解之案件，就民間團體之會議場所及環境、會務健全性及管理、調解專業性及其他等項目考核</w:t>
      </w:r>
      <w:r w:rsidR="00E51B3A" w:rsidRPr="00206F35">
        <w:rPr>
          <w:rFonts w:ascii="標楷體" w:eastAsia="標楷體" w:hAnsi="標楷體" w:cs="Times New Roman" w:hint="eastAsia"/>
          <w:sz w:val="28"/>
          <w:szCs w:val="28"/>
        </w:rPr>
        <w:t>。</w:t>
      </w:r>
    </w:p>
    <w:p w14:paraId="7C07C97F" w14:textId="6F51DE0A" w:rsidR="00E51B3A" w:rsidRDefault="00E51B3A" w:rsidP="00206F35">
      <w:pPr>
        <w:pStyle w:val="a4"/>
        <w:tabs>
          <w:tab w:val="left" w:pos="567"/>
        </w:tabs>
        <w:spacing w:line="500" w:lineRule="exact"/>
        <w:ind w:leftChars="0" w:left="567"/>
        <w:jc w:val="both"/>
        <w:rPr>
          <w:rFonts w:ascii="標楷體" w:eastAsia="標楷體" w:hAnsi="標楷體" w:cs="Times New Roman"/>
          <w:sz w:val="28"/>
          <w:szCs w:val="28"/>
        </w:rPr>
      </w:pPr>
      <w:r w:rsidRPr="00E51B3A">
        <w:rPr>
          <w:rFonts w:ascii="標楷體" w:eastAsia="標楷體" w:hAnsi="標楷體" w:cs="Times New Roman" w:hint="eastAsia"/>
          <w:sz w:val="28"/>
          <w:szCs w:val="28"/>
        </w:rPr>
        <w:t>考核項目及配分如附表。</w:t>
      </w:r>
    </w:p>
    <w:p w14:paraId="4F1B382D" w14:textId="415C5268" w:rsidR="00E51B3A" w:rsidRDefault="00135ED6" w:rsidP="00206F35">
      <w:pPr>
        <w:pStyle w:val="a4"/>
        <w:numPr>
          <w:ilvl w:val="0"/>
          <w:numId w:val="11"/>
        </w:numPr>
        <w:tabs>
          <w:tab w:val="left" w:pos="567"/>
        </w:tabs>
        <w:spacing w:line="500" w:lineRule="exact"/>
        <w:ind w:leftChars="0" w:left="567" w:hanging="567"/>
        <w:jc w:val="both"/>
        <w:rPr>
          <w:rFonts w:ascii="標楷體" w:eastAsia="標楷體" w:hAnsi="標楷體" w:cs="Times New Roman"/>
          <w:sz w:val="28"/>
          <w:szCs w:val="28"/>
        </w:rPr>
      </w:pPr>
      <w:r w:rsidRPr="00135ED6">
        <w:rPr>
          <w:rFonts w:ascii="標楷體" w:eastAsia="標楷體" w:hAnsi="標楷體" w:cs="Times New Roman" w:hint="eastAsia"/>
          <w:sz w:val="28"/>
          <w:szCs w:val="28"/>
        </w:rPr>
        <w:t>考核成績九十分以上者為優等，八十六分以上未滿九十分者為佳，八十分以上未滿八十六分者為良好，未達八十分者為不合格</w:t>
      </w:r>
      <w:r w:rsidR="00E51B3A" w:rsidRPr="00586161">
        <w:rPr>
          <w:rFonts w:ascii="標楷體" w:eastAsia="標楷體" w:hAnsi="標楷體" w:cs="Times New Roman" w:hint="eastAsia"/>
          <w:sz w:val="28"/>
          <w:szCs w:val="28"/>
        </w:rPr>
        <w:t>。</w:t>
      </w:r>
    </w:p>
    <w:p w14:paraId="59283433" w14:textId="3A385820" w:rsidR="00E51B3A" w:rsidRPr="00230F9B" w:rsidRDefault="00135ED6" w:rsidP="00206F35">
      <w:pPr>
        <w:pStyle w:val="a4"/>
        <w:numPr>
          <w:ilvl w:val="0"/>
          <w:numId w:val="11"/>
        </w:numPr>
        <w:tabs>
          <w:tab w:val="left" w:pos="567"/>
        </w:tabs>
        <w:spacing w:line="500" w:lineRule="exact"/>
        <w:ind w:leftChars="0" w:left="567" w:hanging="567"/>
        <w:jc w:val="both"/>
        <w:rPr>
          <w:rFonts w:ascii="標楷體" w:eastAsia="標楷體" w:hAnsi="標楷體" w:cs="Times New Roman"/>
          <w:sz w:val="28"/>
          <w:szCs w:val="28"/>
        </w:rPr>
      </w:pPr>
      <w:r w:rsidRPr="00135ED6">
        <w:rPr>
          <w:rFonts w:ascii="標楷體" w:eastAsia="標楷體" w:hAnsi="標楷體" w:cs="Times New Roman" w:hint="eastAsia"/>
          <w:sz w:val="28"/>
          <w:szCs w:val="28"/>
        </w:rPr>
        <w:t>本府分案時依據前一年度考核評定結果分派案件，考核列優等、佳及良好之民間團體，案件分配比例為七比五比四</w:t>
      </w:r>
      <w:r w:rsidR="00E51B3A" w:rsidRPr="00230F9B">
        <w:rPr>
          <w:rFonts w:ascii="標楷體" w:eastAsia="標楷體" w:hAnsi="標楷體" w:cs="Times New Roman" w:hint="eastAsia"/>
          <w:sz w:val="28"/>
          <w:szCs w:val="28"/>
        </w:rPr>
        <w:t>。</w:t>
      </w:r>
    </w:p>
    <w:p w14:paraId="79044CFF" w14:textId="3A854567" w:rsidR="00E51B3A" w:rsidRPr="00E51B3A" w:rsidRDefault="00E51B3A" w:rsidP="00206F35">
      <w:pPr>
        <w:spacing w:line="500" w:lineRule="exact"/>
        <w:ind w:left="560" w:rightChars="19" w:right="46" w:hangingChars="200" w:hanging="560"/>
        <w:jc w:val="both"/>
        <w:rPr>
          <w:rFonts w:ascii="Times New Roman" w:eastAsia="新細明體" w:hAnsi="Times New Roman" w:cs="Times New Roman"/>
          <w:sz w:val="28"/>
          <w:szCs w:val="28"/>
        </w:rPr>
      </w:pPr>
      <w:r w:rsidRPr="00E51B3A">
        <w:rPr>
          <w:rFonts w:ascii="標楷體" w:eastAsia="標楷體" w:hAnsi="標楷體" w:cs="Times New Roman" w:hint="eastAsia"/>
          <w:sz w:val="28"/>
          <w:szCs w:val="28"/>
        </w:rPr>
        <w:t xml:space="preserve">    經考核列為不合格者，二年內本府不再委託其辦理勞資爭議之調</w:t>
      </w: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解。</w:t>
      </w:r>
    </w:p>
    <w:p w14:paraId="47802B9C" w14:textId="067872A5" w:rsidR="00E51B3A" w:rsidRDefault="00E51B3A" w:rsidP="00B95852">
      <w:pPr>
        <w:snapToGrid w:val="0"/>
        <w:spacing w:line="500" w:lineRule="exact"/>
        <w:ind w:left="566" w:hangingChars="202" w:hanging="566"/>
        <w:jc w:val="both"/>
        <w:rPr>
          <w:rFonts w:ascii="標楷體" w:eastAsia="標楷體" w:hAnsi="標楷體" w:cs="Times New Roman"/>
          <w:sz w:val="28"/>
          <w:szCs w:val="28"/>
        </w:rPr>
      </w:pPr>
      <w:r w:rsidRPr="00E51B3A">
        <w:rPr>
          <w:rFonts w:ascii="標楷體" w:eastAsia="標楷體" w:hAnsi="標楷體" w:cs="Times New Roman" w:hint="eastAsia"/>
          <w:sz w:val="28"/>
          <w:szCs w:val="28"/>
        </w:rPr>
        <w:t xml:space="preserve">  </w:t>
      </w:r>
      <w:r w:rsidR="00AA7E60">
        <w:rPr>
          <w:rFonts w:ascii="標楷體" w:eastAsia="標楷體" w:hAnsi="標楷體" w:cs="Times New Roman"/>
          <w:sz w:val="28"/>
          <w:szCs w:val="28"/>
        </w:rPr>
        <w:t xml:space="preserve">  </w:t>
      </w:r>
      <w:r w:rsidRPr="00E51B3A">
        <w:rPr>
          <w:rFonts w:ascii="標楷體" w:eastAsia="標楷體" w:hAnsi="標楷體" w:cs="Times New Roman" w:hint="eastAsia"/>
          <w:sz w:val="28"/>
          <w:szCs w:val="28"/>
        </w:rPr>
        <w:t>考核結果依勞資爭議調解辦法第二十二條第二項規定予以公告。</w:t>
      </w:r>
    </w:p>
    <w:p w14:paraId="1B15DC36" w14:textId="0DE17D07" w:rsidR="00E51B3A" w:rsidRPr="00AA7E60" w:rsidRDefault="00AA7E60" w:rsidP="00AA7E60">
      <w:pPr>
        <w:snapToGrid w:val="0"/>
        <w:spacing w:line="500" w:lineRule="exact"/>
        <w:ind w:left="566"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七、</w:t>
      </w:r>
      <w:r w:rsidR="00E51B3A" w:rsidRPr="00AA7E60">
        <w:rPr>
          <w:rFonts w:ascii="標楷體" w:eastAsia="標楷體" w:hAnsi="標楷體" w:cs="Times New Roman" w:hint="eastAsia"/>
          <w:sz w:val="28"/>
          <w:szCs w:val="28"/>
        </w:rPr>
        <w:t>本府得審酌實際需要及特殊狀況</w:t>
      </w:r>
      <w:r w:rsidR="00E51B3A" w:rsidRPr="00AA7E60">
        <w:rPr>
          <w:rFonts w:ascii="新細明體" w:eastAsia="新細明體" w:hAnsi="新細明體" w:cs="Times New Roman" w:hint="eastAsia"/>
          <w:sz w:val="28"/>
          <w:szCs w:val="28"/>
        </w:rPr>
        <w:t>，</w:t>
      </w:r>
      <w:r w:rsidR="00E51B3A" w:rsidRPr="00AA7E60">
        <w:rPr>
          <w:rFonts w:ascii="標楷體" w:eastAsia="標楷體" w:hAnsi="標楷體" w:cs="Times New Roman" w:hint="eastAsia"/>
          <w:sz w:val="28"/>
          <w:szCs w:val="28"/>
        </w:rPr>
        <w:t>另訂補充規定。</w:t>
      </w:r>
    </w:p>
    <w:p w14:paraId="36242370" w14:textId="77777777" w:rsidR="00AA7E60" w:rsidRPr="00AA7E60" w:rsidRDefault="00AA7E60" w:rsidP="00AA7E60">
      <w:pPr>
        <w:pStyle w:val="a4"/>
        <w:spacing w:line="500" w:lineRule="exact"/>
        <w:ind w:leftChars="0" w:left="764"/>
        <w:jc w:val="both"/>
        <w:rPr>
          <w:rFonts w:ascii="標楷體" w:eastAsia="標楷體" w:hAnsi="標楷體" w:cs="Times New Roman"/>
          <w:sz w:val="28"/>
          <w:szCs w:val="28"/>
        </w:rPr>
      </w:pPr>
    </w:p>
    <w:p w14:paraId="30ADC39B" w14:textId="347B3C2B" w:rsidR="00DE015B" w:rsidRDefault="00DE015B" w:rsidP="00E51B3A">
      <w:pPr>
        <w:spacing w:line="500" w:lineRule="exact"/>
        <w:rPr>
          <w:rFonts w:ascii="標楷體" w:eastAsia="標楷體" w:hAnsi="標楷體" w:cs="Times New Roman"/>
          <w:sz w:val="28"/>
          <w:szCs w:val="28"/>
        </w:rPr>
      </w:pPr>
    </w:p>
    <w:p w14:paraId="76C018F5" w14:textId="428A6474" w:rsidR="000D017D" w:rsidRDefault="000D017D" w:rsidP="00E51B3A">
      <w:pPr>
        <w:spacing w:line="500" w:lineRule="exact"/>
        <w:rPr>
          <w:rFonts w:ascii="標楷體" w:eastAsia="標楷體" w:hAnsi="標楷體" w:cs="Times New Roman"/>
          <w:sz w:val="28"/>
          <w:szCs w:val="28"/>
        </w:rPr>
      </w:pPr>
    </w:p>
    <w:p w14:paraId="523C9885" w14:textId="79B4131C" w:rsidR="000D017D" w:rsidRDefault="000D017D" w:rsidP="00E51B3A">
      <w:pPr>
        <w:spacing w:line="500" w:lineRule="exact"/>
        <w:rPr>
          <w:rFonts w:ascii="標楷體" w:eastAsia="標楷體" w:hAnsi="標楷體" w:cs="Times New Roman"/>
          <w:sz w:val="28"/>
          <w:szCs w:val="28"/>
        </w:rPr>
      </w:pPr>
    </w:p>
    <w:p w14:paraId="0C4E0F7D" w14:textId="77777777" w:rsidR="000D017D" w:rsidRDefault="000D017D" w:rsidP="00E51B3A">
      <w:pPr>
        <w:spacing w:line="500" w:lineRule="exact"/>
        <w:rPr>
          <w:rFonts w:ascii="標楷體" w:eastAsia="標楷體" w:hAnsi="標楷體" w:cs="Times New Roman"/>
          <w:sz w:val="28"/>
          <w:szCs w:val="28"/>
        </w:rPr>
      </w:pPr>
    </w:p>
    <w:p w14:paraId="1535EFCC" w14:textId="21E66563" w:rsidR="00DE015B" w:rsidRDefault="00DE015B" w:rsidP="00E51B3A">
      <w:pPr>
        <w:spacing w:line="500" w:lineRule="exact"/>
        <w:rPr>
          <w:rFonts w:ascii="標楷體" w:eastAsia="標楷體" w:hAnsi="標楷體" w:cs="Times New Roman"/>
          <w:sz w:val="28"/>
          <w:szCs w:val="28"/>
        </w:rPr>
      </w:pPr>
    </w:p>
    <w:p w14:paraId="1ECC5C03" w14:textId="20F298C9" w:rsidR="00586161" w:rsidRDefault="00586161" w:rsidP="00E51B3A">
      <w:pPr>
        <w:spacing w:line="500" w:lineRule="exact"/>
        <w:rPr>
          <w:rFonts w:ascii="標楷體" w:eastAsia="標楷體" w:hAnsi="標楷體" w:cs="Times New Roman"/>
          <w:sz w:val="28"/>
          <w:szCs w:val="28"/>
        </w:rPr>
      </w:pPr>
    </w:p>
    <w:p w14:paraId="15DC2B9E" w14:textId="77777777" w:rsidR="00586161" w:rsidRDefault="00586161" w:rsidP="00E51B3A">
      <w:pPr>
        <w:spacing w:line="500" w:lineRule="exact"/>
        <w:rPr>
          <w:rFonts w:ascii="標楷體" w:eastAsia="標楷體" w:hAnsi="標楷體" w:cs="Times New Roman"/>
          <w:sz w:val="28"/>
          <w:szCs w:val="28"/>
        </w:rPr>
      </w:pPr>
    </w:p>
    <w:p w14:paraId="513D1A75" w14:textId="7A944910" w:rsidR="00DE015B" w:rsidRDefault="009D5192" w:rsidP="00E51B3A">
      <w:pPr>
        <w:spacing w:line="500" w:lineRule="exact"/>
        <w:rPr>
          <w:rFonts w:ascii="標楷體" w:eastAsia="標楷體" w:hAnsi="標楷體" w:cs="Times New Roman"/>
          <w:sz w:val="28"/>
          <w:szCs w:val="28"/>
        </w:rPr>
      </w:pPr>
      <w:r w:rsidRPr="009D5192">
        <w:rPr>
          <w:rFonts w:ascii="標楷體" w:eastAsia="標楷體" w:hAnsi="標楷體" w:cs="Times New Roman" w:hint="eastAsia"/>
          <w:sz w:val="28"/>
          <w:szCs w:val="28"/>
        </w:rPr>
        <w:lastRenderedPageBreak/>
        <w:t>附表</w:t>
      </w:r>
    </w:p>
    <w:p w14:paraId="1B8EC363" w14:textId="17DA2300" w:rsidR="00DE015B" w:rsidRDefault="00DE015B" w:rsidP="00C21AE5">
      <w:pPr>
        <w:spacing w:line="480" w:lineRule="exact"/>
        <w:ind w:firstLineChars="300" w:firstLine="1081"/>
        <w:rPr>
          <w:rFonts w:ascii="標楷體" w:eastAsia="標楷體" w:hAnsi="標楷體" w:cs="Times New Roman"/>
          <w:b/>
          <w:bCs/>
          <w:sz w:val="36"/>
          <w:szCs w:val="36"/>
        </w:rPr>
      </w:pPr>
      <w:bookmarkStart w:id="1" w:name="_Hlk20415889"/>
      <w:r w:rsidRPr="00DE015B">
        <w:rPr>
          <w:rFonts w:ascii="標楷體" w:eastAsia="標楷體" w:hAnsi="標楷體" w:cs="Times New Roman" w:hint="eastAsia"/>
          <w:b/>
          <w:sz w:val="36"/>
          <w:szCs w:val="36"/>
        </w:rPr>
        <w:t>桃園市政府委託民間團體調解</w:t>
      </w:r>
      <w:r w:rsidRPr="00DE015B">
        <w:rPr>
          <w:rFonts w:ascii="新細明體" w:eastAsia="標楷體" w:hAnsi="新細明體" w:cs="Times New Roman" w:hint="eastAsia"/>
          <w:b/>
          <w:sz w:val="36"/>
          <w:szCs w:val="36"/>
        </w:rPr>
        <w:t>勞資爭議考核</w:t>
      </w:r>
      <w:r w:rsidRPr="00DE015B">
        <w:rPr>
          <w:rFonts w:ascii="標楷體" w:eastAsia="標楷體" w:hAnsi="標楷體" w:cs="Times New Roman" w:hint="eastAsia"/>
          <w:b/>
          <w:bCs/>
          <w:sz w:val="36"/>
          <w:szCs w:val="36"/>
        </w:rPr>
        <w:t>表</w:t>
      </w:r>
    </w:p>
    <w:tbl>
      <w:tblPr>
        <w:tblW w:w="10685"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038"/>
        <w:gridCol w:w="6045"/>
        <w:gridCol w:w="888"/>
        <w:gridCol w:w="862"/>
      </w:tblGrid>
      <w:tr w:rsidR="00DE015B" w:rsidRPr="00DE015B" w14:paraId="541C7383" w14:textId="77777777" w:rsidTr="00140ABC">
        <w:trPr>
          <w:trHeight w:val="215"/>
        </w:trPr>
        <w:tc>
          <w:tcPr>
            <w:tcW w:w="2890" w:type="dxa"/>
            <w:gridSpan w:val="2"/>
            <w:shd w:val="clear" w:color="auto" w:fill="auto"/>
            <w:vAlign w:val="center"/>
          </w:tcPr>
          <w:bookmarkEnd w:id="1"/>
          <w:p w14:paraId="11B912C2"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項目</w:t>
            </w:r>
          </w:p>
        </w:tc>
        <w:tc>
          <w:tcPr>
            <w:tcW w:w="6045" w:type="dxa"/>
            <w:shd w:val="clear" w:color="auto" w:fill="auto"/>
            <w:vAlign w:val="center"/>
          </w:tcPr>
          <w:p w14:paraId="04115ECB"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考核內容</w:t>
            </w:r>
          </w:p>
        </w:tc>
        <w:tc>
          <w:tcPr>
            <w:tcW w:w="888" w:type="dxa"/>
            <w:shd w:val="clear" w:color="auto" w:fill="auto"/>
            <w:vAlign w:val="center"/>
          </w:tcPr>
          <w:p w14:paraId="296E3BB5"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配分</w:t>
            </w:r>
          </w:p>
        </w:tc>
        <w:tc>
          <w:tcPr>
            <w:tcW w:w="862" w:type="dxa"/>
            <w:shd w:val="clear" w:color="auto" w:fill="auto"/>
            <w:vAlign w:val="center"/>
          </w:tcPr>
          <w:p w14:paraId="04F55DCF"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得分</w:t>
            </w:r>
          </w:p>
        </w:tc>
      </w:tr>
      <w:tr w:rsidR="005B78EE" w:rsidRPr="00DE015B" w14:paraId="529C1A31" w14:textId="77777777" w:rsidTr="00140ABC">
        <w:trPr>
          <w:trHeight w:val="1256"/>
        </w:trPr>
        <w:tc>
          <w:tcPr>
            <w:tcW w:w="852" w:type="dxa"/>
            <w:vMerge w:val="restart"/>
            <w:shd w:val="clear" w:color="auto" w:fill="auto"/>
            <w:vAlign w:val="center"/>
          </w:tcPr>
          <w:p w14:paraId="750BE98B" w14:textId="77777777" w:rsidR="00E7579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會</w:t>
            </w:r>
          </w:p>
          <w:p w14:paraId="02714C7B" w14:textId="21E8A4ED" w:rsidR="005B78EE" w:rsidRPr="00E7579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議</w:t>
            </w:r>
          </w:p>
          <w:p w14:paraId="01155EB6" w14:textId="77777777" w:rsidR="00E7579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場</w:t>
            </w:r>
          </w:p>
          <w:p w14:paraId="299AFE18" w14:textId="77777777" w:rsidR="00E7579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所</w:t>
            </w:r>
          </w:p>
          <w:p w14:paraId="76278244" w14:textId="77777777" w:rsidR="00E7579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及</w:t>
            </w:r>
          </w:p>
          <w:p w14:paraId="52E8EA5F" w14:textId="77777777" w:rsidR="00E7579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環</w:t>
            </w:r>
          </w:p>
          <w:p w14:paraId="4F8FBEC2" w14:textId="64BD72C5" w:rsidR="005B78EE" w:rsidRPr="00DE015B" w:rsidRDefault="005B78EE"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境</w:t>
            </w:r>
          </w:p>
          <w:p w14:paraId="48453FFA" w14:textId="78E74247" w:rsidR="005B78EE" w:rsidRPr="00DE015B" w:rsidRDefault="005B78EE"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20%</w:t>
            </w:r>
          </w:p>
        </w:tc>
        <w:tc>
          <w:tcPr>
            <w:tcW w:w="2038" w:type="dxa"/>
            <w:shd w:val="clear" w:color="auto" w:fill="auto"/>
            <w:vAlign w:val="center"/>
          </w:tcPr>
          <w:p w14:paraId="23B447AB" w14:textId="0D9D204C" w:rsidR="005B78EE" w:rsidRPr="00586161" w:rsidRDefault="005B78EE" w:rsidP="00480593">
            <w:pPr>
              <w:snapToGrid w:val="0"/>
              <w:spacing w:line="240" w:lineRule="atLeast"/>
              <w:ind w:leftChars="-22" w:left="372" w:hangingChars="177" w:hanging="425"/>
              <w:jc w:val="both"/>
              <w:rPr>
                <w:rFonts w:ascii="標楷體" w:eastAsia="標楷體" w:hAnsi="標楷體" w:cs="Times New Roman"/>
                <w:szCs w:val="24"/>
              </w:rPr>
            </w:pPr>
            <w:r w:rsidRPr="00586161">
              <w:rPr>
                <w:rFonts w:ascii="標楷體" w:eastAsia="標楷體" w:hAnsi="標楷體" w:cs="Times New Roman" w:hint="eastAsia"/>
                <w:szCs w:val="24"/>
              </w:rPr>
              <w:t>一、會議場所之方便性</w:t>
            </w:r>
          </w:p>
        </w:tc>
        <w:tc>
          <w:tcPr>
            <w:tcW w:w="6045" w:type="dxa"/>
            <w:shd w:val="clear" w:color="auto" w:fill="auto"/>
            <w:vAlign w:val="center"/>
          </w:tcPr>
          <w:p w14:paraId="6A5B9628"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1、民眾方便到達。</w:t>
            </w:r>
          </w:p>
          <w:p w14:paraId="569C6C53"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2、民眾方便停車或有特約停車場。</w:t>
            </w:r>
          </w:p>
          <w:p w14:paraId="49F4864A"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3、具有無障礙設施。</w:t>
            </w:r>
          </w:p>
          <w:p w14:paraId="562E2989" w14:textId="44D0B26E" w:rsidR="00586161"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4、其他增進措施。</w:t>
            </w:r>
          </w:p>
        </w:tc>
        <w:tc>
          <w:tcPr>
            <w:tcW w:w="888" w:type="dxa"/>
            <w:shd w:val="clear" w:color="auto" w:fill="auto"/>
            <w:vAlign w:val="center"/>
          </w:tcPr>
          <w:p w14:paraId="43FC525F" w14:textId="24F0790F" w:rsidR="005B78EE" w:rsidRPr="00DE015B" w:rsidRDefault="004C010A"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10</w:t>
            </w:r>
          </w:p>
        </w:tc>
        <w:tc>
          <w:tcPr>
            <w:tcW w:w="862" w:type="dxa"/>
            <w:shd w:val="clear" w:color="auto" w:fill="auto"/>
          </w:tcPr>
          <w:p w14:paraId="41F0EC0A" w14:textId="77777777" w:rsidR="005B78EE" w:rsidRPr="00DE015B" w:rsidRDefault="005B78EE" w:rsidP="00DE015B">
            <w:pPr>
              <w:spacing w:line="360" w:lineRule="exact"/>
              <w:rPr>
                <w:rFonts w:ascii="標楷體" w:eastAsia="標楷體" w:hAnsi="標楷體" w:cs="Times New Roman"/>
                <w:szCs w:val="24"/>
              </w:rPr>
            </w:pPr>
          </w:p>
        </w:tc>
      </w:tr>
      <w:tr w:rsidR="00C60444" w:rsidRPr="00DE015B" w14:paraId="243AFBB6" w14:textId="77777777" w:rsidTr="00140ABC">
        <w:trPr>
          <w:trHeight w:val="1258"/>
        </w:trPr>
        <w:tc>
          <w:tcPr>
            <w:tcW w:w="852" w:type="dxa"/>
            <w:vMerge/>
            <w:shd w:val="clear" w:color="auto" w:fill="auto"/>
            <w:vAlign w:val="center"/>
          </w:tcPr>
          <w:p w14:paraId="2327C733" w14:textId="392F5DF0" w:rsidR="00C60444" w:rsidRPr="00DE015B" w:rsidRDefault="00C60444" w:rsidP="00DE015B">
            <w:pPr>
              <w:spacing w:line="360" w:lineRule="exact"/>
              <w:jc w:val="center"/>
              <w:rPr>
                <w:rFonts w:ascii="標楷體" w:eastAsia="標楷體" w:hAnsi="標楷體" w:cs="Times New Roman"/>
                <w:sz w:val="28"/>
                <w:szCs w:val="28"/>
              </w:rPr>
            </w:pPr>
          </w:p>
        </w:tc>
        <w:tc>
          <w:tcPr>
            <w:tcW w:w="2038" w:type="dxa"/>
            <w:shd w:val="clear" w:color="auto" w:fill="auto"/>
            <w:vAlign w:val="center"/>
          </w:tcPr>
          <w:p w14:paraId="688764F2" w14:textId="5B034012" w:rsidR="00C60444" w:rsidRPr="00E7579B" w:rsidRDefault="00C60444" w:rsidP="00480593">
            <w:pPr>
              <w:snapToGrid w:val="0"/>
              <w:spacing w:line="240" w:lineRule="atLeast"/>
              <w:ind w:leftChars="-26" w:left="382" w:hangingChars="185" w:hanging="444"/>
              <w:jc w:val="both"/>
              <w:rPr>
                <w:rFonts w:ascii="標楷體" w:eastAsia="標楷體" w:hAnsi="標楷體" w:cs="Times New Roman"/>
                <w:szCs w:val="24"/>
              </w:rPr>
            </w:pPr>
            <w:r w:rsidRPr="00E7579B">
              <w:rPr>
                <w:rFonts w:ascii="標楷體" w:eastAsia="標楷體" w:hAnsi="標楷體" w:cs="Times New Roman" w:hint="eastAsia"/>
                <w:szCs w:val="24"/>
              </w:rPr>
              <w:t>二</w:t>
            </w:r>
            <w:r w:rsidRPr="00E7579B">
              <w:rPr>
                <w:rFonts w:ascii="新細明體" w:eastAsia="新細明體" w:hAnsi="新細明體" w:cs="Times New Roman" w:hint="eastAsia"/>
                <w:szCs w:val="24"/>
              </w:rPr>
              <w:t>、</w:t>
            </w:r>
            <w:r w:rsidRPr="00E7579B">
              <w:rPr>
                <w:rFonts w:ascii="標楷體" w:eastAsia="標楷體" w:hAnsi="標楷體" w:cs="Times New Roman" w:hint="eastAsia"/>
                <w:szCs w:val="24"/>
              </w:rPr>
              <w:t>會議場所之安全性</w:t>
            </w:r>
            <w:r w:rsidR="004C010A" w:rsidRPr="00E7579B">
              <w:rPr>
                <w:rFonts w:ascii="標楷體" w:eastAsia="標楷體" w:hAnsi="標楷體" w:cs="Times New Roman" w:hint="eastAsia"/>
                <w:szCs w:val="24"/>
              </w:rPr>
              <w:t>及舒適性</w:t>
            </w:r>
          </w:p>
        </w:tc>
        <w:tc>
          <w:tcPr>
            <w:tcW w:w="6045" w:type="dxa"/>
            <w:shd w:val="clear" w:color="auto" w:fill="auto"/>
            <w:vAlign w:val="center"/>
          </w:tcPr>
          <w:p w14:paraId="7BF356D7"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1、具隱密性之會議場所。</w:t>
            </w:r>
          </w:p>
          <w:p w14:paraId="41577CAD"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2、具消防、建築安全檢查合格。</w:t>
            </w:r>
          </w:p>
          <w:p w14:paraId="5456DB61"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3、調解場所舒適明亮、整潔。</w:t>
            </w:r>
          </w:p>
          <w:p w14:paraId="2D388922" w14:textId="013D86DF" w:rsidR="00E7579B"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4、其他增進措施。</w:t>
            </w:r>
          </w:p>
        </w:tc>
        <w:tc>
          <w:tcPr>
            <w:tcW w:w="888" w:type="dxa"/>
            <w:shd w:val="clear" w:color="auto" w:fill="auto"/>
            <w:vAlign w:val="center"/>
          </w:tcPr>
          <w:p w14:paraId="6CF1A26F" w14:textId="59B84D7D" w:rsidR="00C60444" w:rsidRPr="00DE015B" w:rsidRDefault="004C010A"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10</w:t>
            </w:r>
          </w:p>
        </w:tc>
        <w:tc>
          <w:tcPr>
            <w:tcW w:w="862" w:type="dxa"/>
            <w:shd w:val="clear" w:color="auto" w:fill="auto"/>
          </w:tcPr>
          <w:p w14:paraId="0CF1684D" w14:textId="77777777" w:rsidR="00C60444" w:rsidRPr="00DE015B" w:rsidRDefault="00C60444" w:rsidP="00DE015B">
            <w:pPr>
              <w:spacing w:line="360" w:lineRule="exact"/>
              <w:rPr>
                <w:rFonts w:ascii="標楷體" w:eastAsia="標楷體" w:hAnsi="標楷體" w:cs="Times New Roman"/>
                <w:szCs w:val="24"/>
              </w:rPr>
            </w:pPr>
          </w:p>
        </w:tc>
      </w:tr>
      <w:tr w:rsidR="00E7579B" w:rsidRPr="00DE015B" w14:paraId="709E9D39" w14:textId="77777777" w:rsidTr="00140ABC">
        <w:trPr>
          <w:trHeight w:val="1622"/>
        </w:trPr>
        <w:tc>
          <w:tcPr>
            <w:tcW w:w="852" w:type="dxa"/>
            <w:vMerge w:val="restart"/>
            <w:shd w:val="clear" w:color="auto" w:fill="auto"/>
            <w:vAlign w:val="center"/>
          </w:tcPr>
          <w:p w14:paraId="183CE2B7"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會</w:t>
            </w:r>
          </w:p>
          <w:p w14:paraId="72D23F6C"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務</w:t>
            </w:r>
          </w:p>
          <w:p w14:paraId="06D8143D"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健</w:t>
            </w:r>
          </w:p>
          <w:p w14:paraId="2A8D2155"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全</w:t>
            </w:r>
          </w:p>
          <w:p w14:paraId="79D1FD74"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性</w:t>
            </w:r>
          </w:p>
          <w:p w14:paraId="7748FE11"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sz w:val="28"/>
                <w:szCs w:val="28"/>
              </w:rPr>
              <w:t>及</w:t>
            </w:r>
          </w:p>
          <w:p w14:paraId="4BE02AAD" w14:textId="77777777"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sz w:val="28"/>
                <w:szCs w:val="28"/>
              </w:rPr>
              <w:t>管</w:t>
            </w:r>
          </w:p>
          <w:p w14:paraId="655BA31D" w14:textId="4647CF15" w:rsidR="00E7579B" w:rsidRPr="00E7579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sz w:val="28"/>
                <w:szCs w:val="28"/>
              </w:rPr>
              <w:t>理</w:t>
            </w:r>
          </w:p>
          <w:p w14:paraId="03448410" w14:textId="563ABB50" w:rsidR="00E7579B" w:rsidRPr="00DE015B" w:rsidRDefault="00E7579B" w:rsidP="00DE015B">
            <w:pPr>
              <w:spacing w:line="360" w:lineRule="exact"/>
              <w:jc w:val="center"/>
              <w:rPr>
                <w:rFonts w:ascii="標楷體" w:eastAsia="標楷體" w:hAnsi="標楷體" w:cs="Times New Roman"/>
                <w:sz w:val="28"/>
                <w:szCs w:val="28"/>
              </w:rPr>
            </w:pPr>
            <w:r w:rsidRPr="00E7579B">
              <w:rPr>
                <w:rFonts w:ascii="標楷體" w:eastAsia="標楷體" w:hAnsi="標楷體" w:cs="Times New Roman" w:hint="eastAsia"/>
                <w:sz w:val="28"/>
                <w:szCs w:val="28"/>
              </w:rPr>
              <w:t>2</w:t>
            </w:r>
            <w:r w:rsidR="00255FC8">
              <w:rPr>
                <w:rFonts w:ascii="標楷體" w:eastAsia="標楷體" w:hAnsi="標楷體" w:cs="Times New Roman"/>
                <w:sz w:val="28"/>
                <w:szCs w:val="28"/>
              </w:rPr>
              <w:t>5</w:t>
            </w:r>
            <w:r w:rsidRPr="00E7579B">
              <w:rPr>
                <w:rFonts w:ascii="標楷體" w:eastAsia="標楷體" w:hAnsi="標楷體" w:cs="Times New Roman" w:hint="eastAsia"/>
                <w:sz w:val="28"/>
                <w:szCs w:val="28"/>
              </w:rPr>
              <w:t>%</w:t>
            </w:r>
          </w:p>
        </w:tc>
        <w:tc>
          <w:tcPr>
            <w:tcW w:w="2038" w:type="dxa"/>
            <w:shd w:val="clear" w:color="auto" w:fill="auto"/>
            <w:vAlign w:val="center"/>
          </w:tcPr>
          <w:p w14:paraId="768B068B" w14:textId="265B688F" w:rsidR="00E7579B" w:rsidRPr="00E7579B" w:rsidRDefault="00E7579B" w:rsidP="00480593">
            <w:pPr>
              <w:snapToGrid w:val="0"/>
              <w:spacing w:line="240" w:lineRule="atLeast"/>
              <w:ind w:leftChars="-37" w:left="413" w:hangingChars="209" w:hanging="502"/>
              <w:jc w:val="both"/>
              <w:rPr>
                <w:rFonts w:ascii="標楷體" w:eastAsia="標楷體" w:hAnsi="標楷體" w:cs="Times New Roman"/>
                <w:strike/>
                <w:szCs w:val="24"/>
              </w:rPr>
            </w:pPr>
            <w:r w:rsidRPr="00E7579B">
              <w:rPr>
                <w:rFonts w:ascii="標楷體" w:eastAsia="標楷體" w:hAnsi="標楷體" w:cs="Times New Roman" w:hint="eastAsia"/>
                <w:szCs w:val="24"/>
              </w:rPr>
              <w:t>一、會務</w:t>
            </w:r>
            <w:r>
              <w:rPr>
                <w:rFonts w:ascii="標楷體" w:eastAsia="標楷體" w:hAnsi="標楷體" w:cs="Times New Roman" w:hint="eastAsia"/>
                <w:szCs w:val="24"/>
              </w:rPr>
              <w:t>、</w:t>
            </w:r>
            <w:r w:rsidRPr="00E7579B">
              <w:rPr>
                <w:rFonts w:ascii="標楷體" w:eastAsia="標楷體" w:hAnsi="標楷體" w:cs="Times New Roman" w:hint="eastAsia"/>
                <w:szCs w:val="24"/>
              </w:rPr>
              <w:t>財務及內控狀況</w:t>
            </w:r>
          </w:p>
        </w:tc>
        <w:tc>
          <w:tcPr>
            <w:tcW w:w="6045" w:type="dxa"/>
            <w:shd w:val="clear" w:color="auto" w:fill="auto"/>
            <w:vAlign w:val="center"/>
          </w:tcPr>
          <w:p w14:paraId="7E12824B" w14:textId="72C3EFA5"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1、按期召開理監事會議及大會，會議紀錄核備情形。</w:t>
            </w:r>
          </w:p>
          <w:p w14:paraId="271D6FF5" w14:textId="61CD7743" w:rsidR="00480593" w:rsidRPr="00480593" w:rsidRDefault="00480593" w:rsidP="00480593">
            <w:pPr>
              <w:snapToGrid w:val="0"/>
              <w:spacing w:line="320" w:lineRule="exact"/>
              <w:ind w:leftChars="5" w:left="374" w:hangingChars="151" w:hanging="362"/>
              <w:jc w:val="both"/>
              <w:rPr>
                <w:rFonts w:ascii="標楷體" w:eastAsia="標楷體" w:hAnsi="標楷體" w:cs="Times New Roman"/>
                <w:szCs w:val="24"/>
              </w:rPr>
            </w:pPr>
            <w:r w:rsidRPr="00480593">
              <w:rPr>
                <w:rFonts w:ascii="標楷體" w:eastAsia="標楷體" w:hAnsi="標楷體" w:cs="Times New Roman" w:hint="eastAsia"/>
                <w:szCs w:val="24"/>
              </w:rPr>
              <w:t>2、年度收支預決算提經大會審查通過，並報主管機關核備情形。</w:t>
            </w:r>
          </w:p>
          <w:p w14:paraId="2F5CD575" w14:textId="3550F090"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3、會計帳冊簿記清楚及完整。</w:t>
            </w:r>
          </w:p>
          <w:p w14:paraId="1775BFF9" w14:textId="7D299E5F"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4、具有內部控制制度。</w:t>
            </w:r>
          </w:p>
          <w:p w14:paraId="4E86ED32" w14:textId="2216A4AA"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5、其他增進措施。</w:t>
            </w:r>
          </w:p>
        </w:tc>
        <w:tc>
          <w:tcPr>
            <w:tcW w:w="888" w:type="dxa"/>
            <w:shd w:val="clear" w:color="auto" w:fill="auto"/>
            <w:vAlign w:val="center"/>
          </w:tcPr>
          <w:p w14:paraId="29467AE5" w14:textId="5ECB98E4" w:rsidR="00E7579B" w:rsidRPr="004C010A" w:rsidRDefault="00E7579B" w:rsidP="00DE015B">
            <w:pPr>
              <w:spacing w:line="360" w:lineRule="exact"/>
              <w:jc w:val="center"/>
              <w:rPr>
                <w:rFonts w:ascii="標楷體" w:eastAsia="標楷體" w:hAnsi="標楷體" w:cs="Times New Roman"/>
                <w:strike/>
                <w:szCs w:val="24"/>
              </w:rPr>
            </w:pPr>
            <w:r>
              <w:rPr>
                <w:rFonts w:ascii="標楷體" w:eastAsia="標楷體" w:hAnsi="標楷體" w:cs="Times New Roman" w:hint="eastAsia"/>
                <w:szCs w:val="24"/>
              </w:rPr>
              <w:t>1</w:t>
            </w:r>
            <w:r w:rsidR="00255FC8">
              <w:rPr>
                <w:rFonts w:ascii="標楷體" w:eastAsia="標楷體" w:hAnsi="標楷體" w:cs="Times New Roman"/>
                <w:szCs w:val="24"/>
              </w:rPr>
              <w:t>0</w:t>
            </w:r>
          </w:p>
        </w:tc>
        <w:tc>
          <w:tcPr>
            <w:tcW w:w="862" w:type="dxa"/>
            <w:shd w:val="clear" w:color="auto" w:fill="auto"/>
          </w:tcPr>
          <w:p w14:paraId="0FE573F8" w14:textId="77777777" w:rsidR="00E7579B" w:rsidRPr="00DE015B" w:rsidRDefault="00E7579B" w:rsidP="00DE015B">
            <w:pPr>
              <w:spacing w:line="360" w:lineRule="exact"/>
              <w:rPr>
                <w:rFonts w:ascii="標楷體" w:eastAsia="標楷體" w:hAnsi="標楷體" w:cs="Times New Roman"/>
                <w:szCs w:val="24"/>
              </w:rPr>
            </w:pPr>
          </w:p>
        </w:tc>
      </w:tr>
      <w:tr w:rsidR="004C010A" w:rsidRPr="00DE015B" w14:paraId="7ABC88EA" w14:textId="77777777" w:rsidTr="00140ABC">
        <w:trPr>
          <w:trHeight w:val="2117"/>
        </w:trPr>
        <w:tc>
          <w:tcPr>
            <w:tcW w:w="852" w:type="dxa"/>
            <w:vMerge/>
            <w:shd w:val="clear" w:color="auto" w:fill="auto"/>
            <w:vAlign w:val="center"/>
          </w:tcPr>
          <w:p w14:paraId="10029363" w14:textId="77777777" w:rsidR="004C010A" w:rsidRPr="00DE015B" w:rsidRDefault="004C010A" w:rsidP="00DE015B">
            <w:pPr>
              <w:spacing w:line="360" w:lineRule="exact"/>
              <w:jc w:val="center"/>
              <w:rPr>
                <w:rFonts w:ascii="標楷體" w:eastAsia="標楷體" w:hAnsi="標楷體" w:cs="Times New Roman"/>
                <w:sz w:val="28"/>
                <w:szCs w:val="28"/>
              </w:rPr>
            </w:pPr>
          </w:p>
        </w:tc>
        <w:tc>
          <w:tcPr>
            <w:tcW w:w="2038" w:type="dxa"/>
            <w:shd w:val="clear" w:color="auto" w:fill="auto"/>
            <w:vAlign w:val="center"/>
          </w:tcPr>
          <w:p w14:paraId="4DDD0439" w14:textId="77777777" w:rsidR="004C010A" w:rsidRPr="00DE015B" w:rsidRDefault="004C010A"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二</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會務人員聘僱</w:t>
            </w:r>
          </w:p>
          <w:p w14:paraId="32F7CE95" w14:textId="77777777" w:rsidR="004C010A" w:rsidRPr="00DE015B" w:rsidRDefault="004C010A"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及管理</w:t>
            </w:r>
          </w:p>
        </w:tc>
        <w:tc>
          <w:tcPr>
            <w:tcW w:w="6045" w:type="dxa"/>
            <w:shd w:val="clear" w:color="auto" w:fill="auto"/>
            <w:vAlign w:val="center"/>
          </w:tcPr>
          <w:p w14:paraId="443F2183" w14:textId="77777777" w:rsidR="00480593" w:rsidRPr="00480593" w:rsidRDefault="00480593" w:rsidP="00480593">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1、會務人員考核獎懲制度之建立。</w:t>
            </w:r>
          </w:p>
          <w:p w14:paraId="44F5846B" w14:textId="35206A50" w:rsidR="00480593" w:rsidRPr="00A822DE" w:rsidRDefault="00480593" w:rsidP="00A822DE">
            <w:pPr>
              <w:pStyle w:val="a4"/>
              <w:numPr>
                <w:ilvl w:val="0"/>
                <w:numId w:val="13"/>
              </w:numPr>
              <w:snapToGrid w:val="0"/>
              <w:spacing w:line="320" w:lineRule="exact"/>
              <w:ind w:leftChars="0"/>
              <w:jc w:val="both"/>
              <w:rPr>
                <w:rFonts w:ascii="標楷體" w:eastAsia="標楷體" w:hAnsi="標楷體" w:cs="Times New Roman"/>
                <w:szCs w:val="24"/>
              </w:rPr>
            </w:pPr>
            <w:r w:rsidRPr="00A822DE">
              <w:rPr>
                <w:rFonts w:ascii="標楷體" w:eastAsia="標楷體" w:hAnsi="標楷體" w:cs="Times New Roman" w:hint="eastAsia"/>
                <w:szCs w:val="24"/>
              </w:rPr>
              <w:t>為民服務態度及接聽電話技巧之訓練。</w:t>
            </w:r>
          </w:p>
          <w:p w14:paraId="278A0DF1" w14:textId="77777777" w:rsidR="00A822DE" w:rsidRDefault="00480593" w:rsidP="00A822DE">
            <w:pPr>
              <w:snapToGrid w:val="0"/>
              <w:spacing w:line="320" w:lineRule="exact"/>
              <w:jc w:val="both"/>
              <w:rPr>
                <w:rFonts w:ascii="標楷體" w:eastAsia="標楷體" w:hAnsi="標楷體" w:cs="Times New Roman"/>
                <w:szCs w:val="24"/>
              </w:rPr>
            </w:pPr>
            <w:r w:rsidRPr="00480593">
              <w:rPr>
                <w:rFonts w:ascii="標楷體" w:eastAsia="標楷體" w:hAnsi="標楷體" w:cs="Times New Roman" w:hint="eastAsia"/>
                <w:szCs w:val="24"/>
              </w:rPr>
              <w:t>3、有無依規定投保勞、健保及提撥退休金。</w:t>
            </w:r>
          </w:p>
          <w:p w14:paraId="208D7FC0" w14:textId="29EDEC2C" w:rsidR="00480593" w:rsidRPr="00A822DE" w:rsidRDefault="00480593"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4、會務人員相關教育訓練。</w:t>
            </w:r>
          </w:p>
          <w:p w14:paraId="6F6AA630" w14:textId="77777777" w:rsidR="00480593" w:rsidRPr="00A822DE" w:rsidRDefault="00480593"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5、會務人員流動率及福利事項。</w:t>
            </w:r>
          </w:p>
          <w:p w14:paraId="67BCF5BB" w14:textId="69767D8A" w:rsidR="00E7579B" w:rsidRPr="00A822DE" w:rsidRDefault="00480593"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6、其他增進措施。</w:t>
            </w:r>
          </w:p>
        </w:tc>
        <w:tc>
          <w:tcPr>
            <w:tcW w:w="888" w:type="dxa"/>
            <w:shd w:val="clear" w:color="auto" w:fill="auto"/>
            <w:vAlign w:val="center"/>
          </w:tcPr>
          <w:p w14:paraId="572BEB56" w14:textId="44BEAD6A" w:rsidR="004C010A" w:rsidRPr="00DE015B" w:rsidRDefault="004C010A" w:rsidP="00DE015B">
            <w:pPr>
              <w:spacing w:line="360" w:lineRule="exact"/>
              <w:jc w:val="center"/>
              <w:rPr>
                <w:rFonts w:ascii="標楷體" w:eastAsia="標楷體" w:hAnsi="標楷體" w:cs="Times New Roman"/>
                <w:szCs w:val="24"/>
              </w:rPr>
            </w:pPr>
            <w:r>
              <w:rPr>
                <w:rFonts w:ascii="標楷體" w:eastAsia="標楷體" w:hAnsi="標楷體" w:cs="Times New Roman" w:hint="eastAsia"/>
                <w:szCs w:val="24"/>
              </w:rPr>
              <w:t>1</w:t>
            </w:r>
            <w:r w:rsidR="00255FC8">
              <w:rPr>
                <w:rFonts w:ascii="標楷體" w:eastAsia="標楷體" w:hAnsi="標楷體" w:cs="Times New Roman"/>
                <w:szCs w:val="24"/>
              </w:rPr>
              <w:t>5</w:t>
            </w:r>
          </w:p>
        </w:tc>
        <w:tc>
          <w:tcPr>
            <w:tcW w:w="862" w:type="dxa"/>
            <w:shd w:val="clear" w:color="auto" w:fill="auto"/>
          </w:tcPr>
          <w:p w14:paraId="4AF02B5E" w14:textId="77777777" w:rsidR="004C010A" w:rsidRPr="00DE015B" w:rsidRDefault="004C010A" w:rsidP="00DE015B">
            <w:pPr>
              <w:spacing w:line="360" w:lineRule="exact"/>
              <w:rPr>
                <w:rFonts w:ascii="標楷體" w:eastAsia="標楷體" w:hAnsi="標楷體" w:cs="Times New Roman"/>
                <w:szCs w:val="24"/>
              </w:rPr>
            </w:pPr>
          </w:p>
        </w:tc>
      </w:tr>
      <w:tr w:rsidR="00A56B8A" w:rsidRPr="00DE015B" w14:paraId="77854D8B" w14:textId="77777777" w:rsidTr="00140ABC">
        <w:trPr>
          <w:trHeight w:val="1399"/>
        </w:trPr>
        <w:tc>
          <w:tcPr>
            <w:tcW w:w="852" w:type="dxa"/>
            <w:vMerge w:val="restart"/>
            <w:shd w:val="clear" w:color="auto" w:fill="auto"/>
            <w:vAlign w:val="center"/>
          </w:tcPr>
          <w:p w14:paraId="79B163C4" w14:textId="77777777" w:rsidR="00A56B8A" w:rsidRPr="00DE015B" w:rsidRDefault="00A56B8A"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調</w:t>
            </w:r>
          </w:p>
          <w:p w14:paraId="254D4D91" w14:textId="77777777" w:rsidR="00A56B8A" w:rsidRPr="00DE015B" w:rsidRDefault="00A56B8A"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解</w:t>
            </w:r>
          </w:p>
          <w:p w14:paraId="21A574CA" w14:textId="77777777" w:rsidR="00A56B8A" w:rsidRPr="00DE015B" w:rsidRDefault="00A56B8A"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專</w:t>
            </w:r>
          </w:p>
          <w:p w14:paraId="637E3D4D" w14:textId="77777777" w:rsidR="00A56B8A" w:rsidRPr="00DE015B" w:rsidRDefault="00A56B8A"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業</w:t>
            </w:r>
          </w:p>
          <w:p w14:paraId="7D029D98" w14:textId="3AE4EE2A" w:rsidR="00A56B8A" w:rsidRPr="00DE015B" w:rsidRDefault="00A56B8A"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性4</w:t>
            </w:r>
            <w:r>
              <w:rPr>
                <w:rFonts w:ascii="標楷體" w:eastAsia="標楷體" w:hAnsi="標楷體" w:cs="Times New Roman"/>
                <w:sz w:val="28"/>
                <w:szCs w:val="28"/>
              </w:rPr>
              <w:t>5</w:t>
            </w:r>
            <w:r w:rsidRPr="00DE015B">
              <w:rPr>
                <w:rFonts w:ascii="標楷體" w:eastAsia="標楷體" w:hAnsi="標楷體" w:cs="Times New Roman" w:hint="eastAsia"/>
                <w:sz w:val="28"/>
                <w:szCs w:val="28"/>
              </w:rPr>
              <w:t>%</w:t>
            </w:r>
          </w:p>
        </w:tc>
        <w:tc>
          <w:tcPr>
            <w:tcW w:w="2038" w:type="dxa"/>
            <w:shd w:val="clear" w:color="auto" w:fill="auto"/>
            <w:vAlign w:val="center"/>
          </w:tcPr>
          <w:p w14:paraId="7B9753D7" w14:textId="50F640A8" w:rsidR="00A56B8A" w:rsidRPr="00140ABC" w:rsidRDefault="00A56B8A" w:rsidP="00745626">
            <w:pPr>
              <w:snapToGrid w:val="0"/>
              <w:spacing w:line="240" w:lineRule="atLeast"/>
              <w:ind w:leftChars="-9" w:left="427" w:hangingChars="187" w:hanging="449"/>
              <w:jc w:val="both"/>
              <w:rPr>
                <w:rFonts w:ascii="標楷體" w:eastAsia="標楷體" w:hAnsi="標楷體" w:cs="Times New Roman"/>
                <w:szCs w:val="24"/>
              </w:rPr>
            </w:pPr>
            <w:r w:rsidRPr="00140ABC">
              <w:rPr>
                <w:rFonts w:ascii="標楷體" w:eastAsia="標楷體" w:hAnsi="標楷體" w:cs="Times New Roman" w:hint="eastAsia"/>
                <w:szCs w:val="24"/>
              </w:rPr>
              <w:t>一</w:t>
            </w:r>
            <w:r w:rsidRPr="00140ABC">
              <w:rPr>
                <w:rFonts w:ascii="新細明體" w:eastAsia="新細明體" w:hAnsi="新細明體" w:cs="Times New Roman" w:hint="eastAsia"/>
                <w:szCs w:val="24"/>
              </w:rPr>
              <w:t>、</w:t>
            </w:r>
            <w:r w:rsidRPr="00140ABC">
              <w:rPr>
                <w:rFonts w:ascii="標楷體" w:eastAsia="標楷體" w:hAnsi="標楷體" w:cs="Times New Roman" w:hint="eastAsia"/>
                <w:szCs w:val="24"/>
              </w:rPr>
              <w:t>調解人資格、</w:t>
            </w:r>
            <w:bookmarkStart w:id="2" w:name="_GoBack"/>
            <w:bookmarkEnd w:id="2"/>
            <w:r w:rsidRPr="00140ABC">
              <w:rPr>
                <w:rFonts w:ascii="標楷體" w:eastAsia="標楷體" w:hAnsi="標楷體" w:cs="Times New Roman" w:hint="eastAsia"/>
                <w:szCs w:val="24"/>
              </w:rPr>
              <w:t>訓練及考核</w:t>
            </w:r>
          </w:p>
        </w:tc>
        <w:tc>
          <w:tcPr>
            <w:tcW w:w="6045" w:type="dxa"/>
            <w:shd w:val="clear" w:color="auto" w:fill="auto"/>
            <w:vAlign w:val="center"/>
          </w:tcPr>
          <w:p w14:paraId="21B64609" w14:textId="77777777" w:rsidR="00A822DE" w:rsidRPr="00A822DE" w:rsidRDefault="00A822DE"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1、調解人遴聘、分案及考核機制。</w:t>
            </w:r>
          </w:p>
          <w:p w14:paraId="68A98C93" w14:textId="77777777" w:rsidR="00A822DE" w:rsidRPr="00A822DE" w:rsidRDefault="00A822DE"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2、調解人(含出席費及交通費)費用發放標準。</w:t>
            </w:r>
          </w:p>
          <w:p w14:paraId="4B82E447" w14:textId="77777777" w:rsidR="00A822DE" w:rsidRPr="00A822DE" w:rsidRDefault="00A822DE"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3、自辦及外部教育訓練場次。</w:t>
            </w:r>
          </w:p>
          <w:p w14:paraId="777C61D0" w14:textId="77777777" w:rsidR="00A822DE" w:rsidRPr="00A822DE" w:rsidRDefault="00A822DE"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4、教育訓練講師是否為外聘專業講師。</w:t>
            </w:r>
          </w:p>
          <w:p w14:paraId="79C16996" w14:textId="77777777" w:rsidR="00A822DE" w:rsidRPr="00A822DE" w:rsidRDefault="00A822DE"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5、調解人之調解案件量、成功率及問卷分析資料。</w:t>
            </w:r>
          </w:p>
          <w:p w14:paraId="0BFC979B" w14:textId="77777777" w:rsidR="00A822DE" w:rsidRPr="00A822DE" w:rsidRDefault="00A822DE" w:rsidP="00A822DE">
            <w:pPr>
              <w:snapToGrid w:val="0"/>
              <w:spacing w:line="320" w:lineRule="exact"/>
              <w:jc w:val="both"/>
              <w:rPr>
                <w:rFonts w:ascii="標楷體" w:eastAsia="標楷體" w:hAnsi="標楷體" w:cs="Times New Roman"/>
                <w:szCs w:val="24"/>
              </w:rPr>
            </w:pPr>
            <w:r w:rsidRPr="00A822DE">
              <w:rPr>
                <w:rFonts w:ascii="標楷體" w:eastAsia="標楷體" w:hAnsi="標楷體" w:cs="Times New Roman" w:hint="eastAsia"/>
                <w:szCs w:val="24"/>
              </w:rPr>
              <w:t>6、調解人被陳情及處理情形。</w:t>
            </w:r>
          </w:p>
          <w:p w14:paraId="777868D2" w14:textId="7450CF60" w:rsidR="00A56B8A" w:rsidRPr="00A822DE" w:rsidRDefault="00A822DE" w:rsidP="00A822DE">
            <w:pPr>
              <w:spacing w:line="320" w:lineRule="exact"/>
              <w:rPr>
                <w:rFonts w:ascii="標楷體" w:eastAsia="標楷體" w:hAnsi="標楷體" w:cs="Times New Roman"/>
                <w:szCs w:val="24"/>
              </w:rPr>
            </w:pPr>
            <w:r w:rsidRPr="00A822DE">
              <w:rPr>
                <w:rFonts w:ascii="標楷體" w:eastAsia="標楷體" w:hAnsi="標楷體" w:cs="Times New Roman" w:hint="eastAsia"/>
                <w:szCs w:val="24"/>
              </w:rPr>
              <w:t>7、其他增進措施。</w:t>
            </w:r>
          </w:p>
        </w:tc>
        <w:tc>
          <w:tcPr>
            <w:tcW w:w="888" w:type="dxa"/>
            <w:shd w:val="clear" w:color="auto" w:fill="auto"/>
            <w:vAlign w:val="center"/>
          </w:tcPr>
          <w:p w14:paraId="615A3B18" w14:textId="2622A1AF" w:rsidR="00A56B8A" w:rsidRPr="00DE015B" w:rsidRDefault="00A56B8A"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15</w:t>
            </w:r>
          </w:p>
        </w:tc>
        <w:tc>
          <w:tcPr>
            <w:tcW w:w="862" w:type="dxa"/>
            <w:shd w:val="clear" w:color="auto" w:fill="auto"/>
          </w:tcPr>
          <w:p w14:paraId="5D99FCD5" w14:textId="77777777" w:rsidR="00A56B8A" w:rsidRPr="00DE015B" w:rsidRDefault="00A56B8A" w:rsidP="00DE015B">
            <w:pPr>
              <w:spacing w:line="360" w:lineRule="exact"/>
              <w:rPr>
                <w:rFonts w:ascii="標楷體" w:eastAsia="標楷體" w:hAnsi="標楷體" w:cs="Times New Roman"/>
                <w:szCs w:val="24"/>
              </w:rPr>
            </w:pPr>
          </w:p>
        </w:tc>
      </w:tr>
      <w:tr w:rsidR="00A56B8A" w:rsidRPr="00DE015B" w14:paraId="0BABE6D0" w14:textId="77777777" w:rsidTr="00140ABC">
        <w:trPr>
          <w:trHeight w:val="1460"/>
        </w:trPr>
        <w:tc>
          <w:tcPr>
            <w:tcW w:w="852" w:type="dxa"/>
            <w:vMerge/>
            <w:shd w:val="clear" w:color="auto" w:fill="auto"/>
          </w:tcPr>
          <w:p w14:paraId="294DC6EE" w14:textId="77777777" w:rsidR="00A56B8A" w:rsidRPr="00DE015B" w:rsidRDefault="00A56B8A" w:rsidP="00DE015B">
            <w:pPr>
              <w:spacing w:line="360" w:lineRule="exact"/>
              <w:rPr>
                <w:rFonts w:ascii="標楷體" w:eastAsia="標楷體" w:hAnsi="標楷體" w:cs="Times New Roman"/>
                <w:sz w:val="28"/>
                <w:szCs w:val="28"/>
              </w:rPr>
            </w:pPr>
          </w:p>
        </w:tc>
        <w:tc>
          <w:tcPr>
            <w:tcW w:w="2038" w:type="dxa"/>
            <w:shd w:val="clear" w:color="auto" w:fill="auto"/>
            <w:vAlign w:val="center"/>
          </w:tcPr>
          <w:p w14:paraId="41E52D46" w14:textId="650DDDE3" w:rsidR="00A56B8A" w:rsidRPr="00140ABC" w:rsidRDefault="00A56B8A" w:rsidP="00B06F6C">
            <w:pPr>
              <w:snapToGrid w:val="0"/>
              <w:spacing w:line="240" w:lineRule="atLeast"/>
              <w:ind w:left="358" w:hangingChars="149" w:hanging="358"/>
              <w:jc w:val="both"/>
              <w:rPr>
                <w:rFonts w:ascii="標楷體" w:eastAsia="標楷體" w:hAnsi="標楷體" w:cs="Times New Roman"/>
                <w:szCs w:val="24"/>
              </w:rPr>
            </w:pPr>
            <w:r w:rsidRPr="00140ABC">
              <w:rPr>
                <w:rFonts w:ascii="標楷體" w:eastAsia="標楷體" w:hAnsi="標楷體" w:cs="Times New Roman" w:hint="eastAsia"/>
                <w:szCs w:val="24"/>
              </w:rPr>
              <w:t>二、調解</w:t>
            </w:r>
            <w:r w:rsidR="00042BBF" w:rsidRPr="00140ABC">
              <w:rPr>
                <w:rFonts w:ascii="標楷體" w:eastAsia="標楷體" w:hAnsi="標楷體" w:cs="Times New Roman" w:hint="eastAsia"/>
                <w:szCs w:val="24"/>
              </w:rPr>
              <w:t>相關作業</w:t>
            </w:r>
            <w:r w:rsidRPr="00140ABC">
              <w:rPr>
                <w:rFonts w:ascii="標楷體" w:eastAsia="標楷體" w:hAnsi="標楷體" w:cs="Times New Roman" w:hint="eastAsia"/>
                <w:szCs w:val="24"/>
              </w:rPr>
              <w:t>及民眾服務</w:t>
            </w:r>
          </w:p>
        </w:tc>
        <w:tc>
          <w:tcPr>
            <w:tcW w:w="6045" w:type="dxa"/>
            <w:shd w:val="clear" w:color="auto" w:fill="auto"/>
            <w:vAlign w:val="center"/>
          </w:tcPr>
          <w:p w14:paraId="420FB8B3" w14:textId="77777777" w:rsidR="00A822DE" w:rsidRPr="00A822DE" w:rsidRDefault="00A822DE" w:rsidP="00A822DE">
            <w:pPr>
              <w:snapToGrid w:val="0"/>
              <w:spacing w:line="320" w:lineRule="exact"/>
              <w:ind w:left="240" w:hangingChars="100" w:hanging="240"/>
              <w:jc w:val="both"/>
              <w:rPr>
                <w:rFonts w:ascii="標楷體" w:eastAsia="標楷體" w:hAnsi="標楷體" w:cs="Times New Roman"/>
                <w:szCs w:val="24"/>
              </w:rPr>
            </w:pPr>
            <w:r w:rsidRPr="00A822DE">
              <w:rPr>
                <w:rFonts w:ascii="標楷體" w:eastAsia="標楷體" w:hAnsi="標楷體" w:cs="Times New Roman" w:hint="eastAsia"/>
                <w:szCs w:val="24"/>
              </w:rPr>
              <w:t>1、是否以掛號寄發開會通知，提供掛號聯單等。</w:t>
            </w:r>
          </w:p>
          <w:p w14:paraId="702D7162" w14:textId="77777777" w:rsidR="00A822DE" w:rsidRPr="00A822DE" w:rsidRDefault="00A822DE" w:rsidP="00A822DE">
            <w:pPr>
              <w:snapToGrid w:val="0"/>
              <w:spacing w:line="320" w:lineRule="exact"/>
              <w:ind w:left="240" w:hangingChars="100" w:hanging="240"/>
              <w:jc w:val="both"/>
              <w:rPr>
                <w:rFonts w:ascii="標楷體" w:eastAsia="標楷體" w:hAnsi="標楷體" w:cs="Times New Roman"/>
                <w:szCs w:val="24"/>
              </w:rPr>
            </w:pPr>
            <w:r w:rsidRPr="00A822DE">
              <w:rPr>
                <w:rFonts w:ascii="標楷體" w:eastAsia="標楷體" w:hAnsi="標楷體" w:cs="Times New Roman" w:hint="eastAsia"/>
                <w:szCs w:val="24"/>
              </w:rPr>
              <w:t>2、是否以電話再確認開會時間，提供電話紀錄等。</w:t>
            </w:r>
          </w:p>
          <w:p w14:paraId="1A63ABF3" w14:textId="77777777" w:rsidR="00A822DE" w:rsidRPr="00A822DE" w:rsidRDefault="00A822DE" w:rsidP="00A822DE">
            <w:pPr>
              <w:snapToGrid w:val="0"/>
              <w:spacing w:line="320" w:lineRule="exact"/>
              <w:ind w:left="240" w:hangingChars="100" w:hanging="240"/>
              <w:jc w:val="both"/>
              <w:rPr>
                <w:rFonts w:ascii="標楷體" w:eastAsia="標楷體" w:hAnsi="標楷體" w:cs="Times New Roman"/>
                <w:szCs w:val="24"/>
              </w:rPr>
            </w:pPr>
            <w:r w:rsidRPr="00A822DE">
              <w:rPr>
                <w:rFonts w:ascii="標楷體" w:eastAsia="標楷體" w:hAnsi="標楷體" w:cs="Times New Roman" w:hint="eastAsia"/>
                <w:szCs w:val="24"/>
              </w:rPr>
              <w:t>3、會務人員提供民眾諮詢服務及紀錄。</w:t>
            </w:r>
          </w:p>
          <w:p w14:paraId="1006BCC9" w14:textId="7CC839C1" w:rsidR="00A56B8A" w:rsidRPr="00140ABC" w:rsidRDefault="00A822DE" w:rsidP="00A822DE">
            <w:pPr>
              <w:snapToGrid w:val="0"/>
              <w:spacing w:line="320" w:lineRule="exact"/>
              <w:ind w:left="317" w:hangingChars="132" w:hanging="317"/>
              <w:jc w:val="both"/>
              <w:rPr>
                <w:rFonts w:ascii="標楷體" w:eastAsia="標楷體" w:hAnsi="標楷體" w:cs="Times New Roman"/>
                <w:szCs w:val="24"/>
              </w:rPr>
            </w:pPr>
            <w:r w:rsidRPr="00A822DE">
              <w:rPr>
                <w:rFonts w:ascii="標楷體" w:eastAsia="標楷體" w:hAnsi="標楷體" w:cs="Times New Roman" w:hint="eastAsia"/>
                <w:szCs w:val="24"/>
              </w:rPr>
              <w:t>4、調解會議紀錄依規定送本府並登錄勞動部勞工行政資訊整合應用系統及調解相關系統。</w:t>
            </w:r>
          </w:p>
        </w:tc>
        <w:tc>
          <w:tcPr>
            <w:tcW w:w="888" w:type="dxa"/>
            <w:shd w:val="clear" w:color="auto" w:fill="auto"/>
            <w:vAlign w:val="center"/>
          </w:tcPr>
          <w:p w14:paraId="6D852323" w14:textId="2595A49D" w:rsidR="00A56B8A" w:rsidRPr="00DE015B" w:rsidRDefault="00A56B8A"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10</w:t>
            </w:r>
          </w:p>
        </w:tc>
        <w:tc>
          <w:tcPr>
            <w:tcW w:w="862" w:type="dxa"/>
            <w:shd w:val="clear" w:color="auto" w:fill="auto"/>
          </w:tcPr>
          <w:p w14:paraId="27A1F7CB" w14:textId="77777777" w:rsidR="00A56B8A" w:rsidRPr="00DE015B" w:rsidRDefault="00A56B8A" w:rsidP="00DE015B">
            <w:pPr>
              <w:spacing w:line="360" w:lineRule="exact"/>
              <w:rPr>
                <w:rFonts w:ascii="標楷體" w:eastAsia="標楷體" w:hAnsi="標楷體" w:cs="Times New Roman"/>
                <w:szCs w:val="24"/>
              </w:rPr>
            </w:pPr>
          </w:p>
        </w:tc>
      </w:tr>
      <w:tr w:rsidR="00A56B8A" w:rsidRPr="00DE015B" w14:paraId="5F390791" w14:textId="77777777" w:rsidTr="00140ABC">
        <w:trPr>
          <w:trHeight w:val="612"/>
        </w:trPr>
        <w:tc>
          <w:tcPr>
            <w:tcW w:w="852" w:type="dxa"/>
            <w:vMerge/>
            <w:shd w:val="clear" w:color="auto" w:fill="auto"/>
          </w:tcPr>
          <w:p w14:paraId="2F71DF6E" w14:textId="77777777" w:rsidR="00A56B8A" w:rsidRPr="00DE015B" w:rsidRDefault="00A56B8A" w:rsidP="00DE015B">
            <w:pPr>
              <w:spacing w:line="360" w:lineRule="exact"/>
              <w:rPr>
                <w:rFonts w:ascii="標楷體" w:eastAsia="標楷體" w:hAnsi="標楷體" w:cs="Times New Roman"/>
                <w:sz w:val="28"/>
                <w:szCs w:val="28"/>
              </w:rPr>
            </w:pPr>
          </w:p>
        </w:tc>
        <w:tc>
          <w:tcPr>
            <w:tcW w:w="2038" w:type="dxa"/>
            <w:vMerge w:val="restart"/>
            <w:shd w:val="clear" w:color="auto" w:fill="auto"/>
            <w:vAlign w:val="center"/>
          </w:tcPr>
          <w:p w14:paraId="3E954133" w14:textId="31848755" w:rsidR="00A56B8A" w:rsidRPr="00140ABC" w:rsidRDefault="00140ABC" w:rsidP="00230F9B">
            <w:pPr>
              <w:snapToGrid w:val="0"/>
              <w:spacing w:line="240" w:lineRule="atLeast"/>
              <w:jc w:val="both"/>
              <w:rPr>
                <w:rFonts w:ascii="標楷體" w:eastAsia="標楷體" w:hAnsi="標楷體" w:cs="Times New Roman"/>
                <w:szCs w:val="24"/>
              </w:rPr>
            </w:pPr>
            <w:r w:rsidRPr="00140ABC">
              <w:rPr>
                <w:rFonts w:ascii="標楷體" w:eastAsia="標楷體" w:hAnsi="標楷體" w:cs="Times New Roman" w:hint="eastAsia"/>
                <w:szCs w:val="24"/>
              </w:rPr>
              <w:t>三、</w:t>
            </w:r>
            <w:r w:rsidR="00A56B8A" w:rsidRPr="00140ABC">
              <w:rPr>
                <w:rFonts w:ascii="標楷體" w:eastAsia="標楷體" w:hAnsi="標楷體" w:cs="Times New Roman" w:hint="eastAsia"/>
                <w:szCs w:val="24"/>
              </w:rPr>
              <w:t>調解成果</w:t>
            </w:r>
          </w:p>
        </w:tc>
        <w:tc>
          <w:tcPr>
            <w:tcW w:w="6045" w:type="dxa"/>
            <w:shd w:val="clear" w:color="auto" w:fill="auto"/>
            <w:vAlign w:val="center"/>
          </w:tcPr>
          <w:p w14:paraId="7EF30AE1" w14:textId="324D94E9" w:rsidR="00A56B8A" w:rsidRPr="00140ABC" w:rsidRDefault="00A822DE" w:rsidP="00A822DE">
            <w:pPr>
              <w:snapToGrid w:val="0"/>
              <w:spacing w:line="320" w:lineRule="exact"/>
              <w:ind w:left="305" w:hangingChars="127" w:hanging="305"/>
              <w:rPr>
                <w:rFonts w:ascii="標楷體" w:eastAsia="標楷體" w:hAnsi="標楷體" w:cs="Times New Roman"/>
                <w:szCs w:val="24"/>
              </w:rPr>
            </w:pPr>
            <w:r w:rsidRPr="00A822DE">
              <w:rPr>
                <w:rFonts w:ascii="標楷體" w:eastAsia="標楷體" w:hAnsi="標楷體" w:cs="Times New Roman" w:hint="eastAsia"/>
                <w:szCs w:val="24"/>
              </w:rPr>
              <w:t>1、調解成功率（調解成功率排序第一給予十分、排序第二給九分…）。</w:t>
            </w:r>
          </w:p>
        </w:tc>
        <w:tc>
          <w:tcPr>
            <w:tcW w:w="888" w:type="dxa"/>
            <w:shd w:val="clear" w:color="auto" w:fill="auto"/>
            <w:vAlign w:val="center"/>
          </w:tcPr>
          <w:p w14:paraId="4CF55346" w14:textId="2F62036E" w:rsidR="00A56B8A" w:rsidRPr="00DE015B" w:rsidRDefault="00A56B8A"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10</w:t>
            </w:r>
          </w:p>
        </w:tc>
        <w:tc>
          <w:tcPr>
            <w:tcW w:w="862" w:type="dxa"/>
            <w:shd w:val="clear" w:color="auto" w:fill="auto"/>
          </w:tcPr>
          <w:p w14:paraId="7A886FE1" w14:textId="77777777" w:rsidR="00A56B8A" w:rsidRPr="00DE015B" w:rsidRDefault="00A56B8A" w:rsidP="00DE015B">
            <w:pPr>
              <w:spacing w:line="360" w:lineRule="exact"/>
              <w:rPr>
                <w:rFonts w:ascii="標楷體" w:eastAsia="標楷體" w:hAnsi="標楷體" w:cs="Times New Roman"/>
                <w:szCs w:val="24"/>
              </w:rPr>
            </w:pPr>
          </w:p>
        </w:tc>
      </w:tr>
      <w:tr w:rsidR="00A56B8A" w:rsidRPr="00DE015B" w14:paraId="6A022E50" w14:textId="77777777" w:rsidTr="00140ABC">
        <w:trPr>
          <w:trHeight w:val="492"/>
        </w:trPr>
        <w:tc>
          <w:tcPr>
            <w:tcW w:w="852" w:type="dxa"/>
            <w:vMerge/>
            <w:shd w:val="clear" w:color="auto" w:fill="auto"/>
          </w:tcPr>
          <w:p w14:paraId="6D091D85" w14:textId="77777777" w:rsidR="00A56B8A" w:rsidRPr="00DE015B" w:rsidRDefault="00A56B8A"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11BE7772" w14:textId="77777777" w:rsidR="00A56B8A" w:rsidRPr="00140ABC" w:rsidRDefault="00A56B8A" w:rsidP="00DE015B">
            <w:pPr>
              <w:snapToGrid w:val="0"/>
              <w:spacing w:line="240" w:lineRule="atLeast"/>
              <w:ind w:left="240" w:hangingChars="100" w:hanging="240"/>
              <w:jc w:val="both"/>
              <w:rPr>
                <w:rFonts w:ascii="標楷體" w:eastAsia="標楷體" w:hAnsi="標楷體" w:cs="Times New Roman"/>
                <w:szCs w:val="24"/>
              </w:rPr>
            </w:pPr>
          </w:p>
        </w:tc>
        <w:tc>
          <w:tcPr>
            <w:tcW w:w="6045" w:type="dxa"/>
            <w:shd w:val="clear" w:color="auto" w:fill="auto"/>
            <w:vAlign w:val="center"/>
          </w:tcPr>
          <w:p w14:paraId="7086D1A7" w14:textId="77777777" w:rsidR="00A822DE" w:rsidRPr="00A822DE" w:rsidRDefault="00A822DE" w:rsidP="00A822DE">
            <w:pPr>
              <w:snapToGrid w:val="0"/>
              <w:spacing w:line="320" w:lineRule="exact"/>
              <w:rPr>
                <w:rFonts w:ascii="標楷體" w:eastAsia="標楷體" w:hAnsi="標楷體" w:cs="Times New Roman"/>
                <w:szCs w:val="24"/>
              </w:rPr>
            </w:pPr>
            <w:r w:rsidRPr="00A822DE">
              <w:rPr>
                <w:rFonts w:ascii="標楷體" w:eastAsia="標楷體" w:hAnsi="標楷體" w:cs="Times New Roman" w:hint="eastAsia"/>
                <w:szCs w:val="24"/>
              </w:rPr>
              <w:t>2、調解紀錄完整、內容合法、明確、可供強制執行。</w:t>
            </w:r>
          </w:p>
          <w:p w14:paraId="52F91B44" w14:textId="7F25F9F0" w:rsidR="00A56B8A" w:rsidRPr="00140ABC" w:rsidRDefault="00A822DE" w:rsidP="00A822DE">
            <w:pPr>
              <w:snapToGrid w:val="0"/>
              <w:spacing w:line="320" w:lineRule="exact"/>
              <w:ind w:leftChars="67" w:left="161"/>
              <w:rPr>
                <w:rFonts w:ascii="標楷體" w:eastAsia="標楷體" w:hAnsi="標楷體" w:cs="Times New Roman"/>
                <w:szCs w:val="24"/>
              </w:rPr>
            </w:pPr>
            <w:r w:rsidRPr="00A822DE">
              <w:rPr>
                <w:rFonts w:ascii="標楷體" w:eastAsia="標楷體" w:hAnsi="標楷體" w:cs="Times New Roman" w:hint="eastAsia"/>
                <w:szCs w:val="24"/>
              </w:rPr>
              <w:t>（系統退件扣０.二分）</w:t>
            </w:r>
          </w:p>
        </w:tc>
        <w:tc>
          <w:tcPr>
            <w:tcW w:w="888" w:type="dxa"/>
            <w:shd w:val="clear" w:color="auto" w:fill="auto"/>
            <w:vAlign w:val="center"/>
          </w:tcPr>
          <w:p w14:paraId="3997EB27" w14:textId="5DC73597" w:rsidR="00A56B8A" w:rsidRPr="00D82BB7" w:rsidRDefault="00A56B8A"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10</w:t>
            </w:r>
          </w:p>
        </w:tc>
        <w:tc>
          <w:tcPr>
            <w:tcW w:w="862" w:type="dxa"/>
            <w:shd w:val="clear" w:color="auto" w:fill="auto"/>
          </w:tcPr>
          <w:p w14:paraId="1424FCC8" w14:textId="77777777" w:rsidR="00A56B8A" w:rsidRPr="00DE015B" w:rsidRDefault="00A56B8A" w:rsidP="00DE015B">
            <w:pPr>
              <w:spacing w:line="360" w:lineRule="exact"/>
              <w:rPr>
                <w:rFonts w:ascii="標楷體" w:eastAsia="標楷體" w:hAnsi="標楷體" w:cs="Times New Roman"/>
                <w:szCs w:val="24"/>
              </w:rPr>
            </w:pPr>
          </w:p>
        </w:tc>
      </w:tr>
      <w:tr w:rsidR="00140ABC" w:rsidRPr="00DE015B" w14:paraId="63BA250E" w14:textId="77777777" w:rsidTr="00DB5A99">
        <w:trPr>
          <w:trHeight w:val="407"/>
        </w:trPr>
        <w:tc>
          <w:tcPr>
            <w:tcW w:w="2890" w:type="dxa"/>
            <w:gridSpan w:val="2"/>
            <w:shd w:val="clear" w:color="auto" w:fill="auto"/>
            <w:vAlign w:val="center"/>
          </w:tcPr>
          <w:p w14:paraId="525C86F4" w14:textId="56ECD6FB" w:rsidR="00140ABC" w:rsidRPr="00140ABC" w:rsidRDefault="00140ABC" w:rsidP="000B18B6">
            <w:pPr>
              <w:spacing w:line="360" w:lineRule="exact"/>
              <w:jc w:val="center"/>
              <w:rPr>
                <w:rFonts w:ascii="標楷體" w:eastAsia="標楷體" w:hAnsi="標楷體" w:cs="Times New Roman"/>
                <w:sz w:val="28"/>
                <w:szCs w:val="28"/>
              </w:rPr>
            </w:pPr>
            <w:r w:rsidRPr="00140ABC">
              <w:rPr>
                <w:rFonts w:ascii="標楷體" w:eastAsia="標楷體" w:hAnsi="標楷體" w:cs="Times New Roman" w:hint="eastAsia"/>
                <w:sz w:val="28"/>
                <w:szCs w:val="28"/>
              </w:rPr>
              <w:t>其他 10%</w:t>
            </w:r>
          </w:p>
        </w:tc>
        <w:tc>
          <w:tcPr>
            <w:tcW w:w="6045" w:type="dxa"/>
            <w:shd w:val="clear" w:color="auto" w:fill="auto"/>
            <w:vAlign w:val="center"/>
          </w:tcPr>
          <w:p w14:paraId="44AC7E6D" w14:textId="09C87589" w:rsidR="00140ABC" w:rsidRPr="00140ABC" w:rsidRDefault="00140ABC" w:rsidP="000B18B6">
            <w:pPr>
              <w:spacing w:line="320" w:lineRule="exact"/>
              <w:rPr>
                <w:rFonts w:ascii="標楷體" w:eastAsia="標楷體" w:hAnsi="標楷體" w:cs="Times New Roman"/>
                <w:szCs w:val="24"/>
              </w:rPr>
            </w:pPr>
            <w:r w:rsidRPr="00140ABC">
              <w:rPr>
                <w:rFonts w:ascii="標楷體" w:eastAsia="標楷體" w:hAnsi="標楷體" w:cs="Times New Roman" w:hint="eastAsia"/>
                <w:szCs w:val="24"/>
              </w:rPr>
              <w:t>考核改善情形</w:t>
            </w:r>
            <w:r w:rsidRPr="00140ABC">
              <w:rPr>
                <w:rFonts w:ascii="標楷體" w:eastAsia="標楷體" w:hAnsi="標楷體" w:cs="Times New Roman"/>
                <w:szCs w:val="24"/>
              </w:rPr>
              <w:t>、</w:t>
            </w:r>
            <w:r w:rsidRPr="00140ABC">
              <w:rPr>
                <w:rFonts w:ascii="標楷體" w:eastAsia="標楷體" w:hAnsi="標楷體" w:cs="Times New Roman" w:hint="eastAsia"/>
                <w:szCs w:val="24"/>
              </w:rPr>
              <w:t>創意及特色</w:t>
            </w:r>
            <w:r w:rsidRPr="00140ABC">
              <w:rPr>
                <w:rFonts w:ascii="標楷體" w:eastAsia="標楷體" w:hAnsi="標楷體" w:cs="Times New Roman"/>
                <w:szCs w:val="24"/>
              </w:rPr>
              <w:t>、</w:t>
            </w:r>
            <w:r w:rsidRPr="00140ABC">
              <w:rPr>
                <w:rFonts w:ascii="標楷體" w:eastAsia="標楷體" w:hAnsi="標楷體" w:cs="Times New Roman" w:hint="eastAsia"/>
                <w:szCs w:val="24"/>
              </w:rPr>
              <w:t>政令宣導、問卷及相關分析研究等其增進調解業務之措施。</w:t>
            </w:r>
          </w:p>
        </w:tc>
        <w:tc>
          <w:tcPr>
            <w:tcW w:w="888" w:type="dxa"/>
            <w:shd w:val="clear" w:color="auto" w:fill="auto"/>
            <w:vAlign w:val="center"/>
          </w:tcPr>
          <w:p w14:paraId="287AE840" w14:textId="31E5A594" w:rsidR="00140ABC" w:rsidRPr="00DE015B" w:rsidRDefault="00140ABC" w:rsidP="00DE015B">
            <w:pPr>
              <w:spacing w:line="360" w:lineRule="exact"/>
              <w:jc w:val="center"/>
              <w:rPr>
                <w:rFonts w:ascii="標楷體" w:eastAsia="標楷體" w:hAnsi="標楷體" w:cs="Times New Roman"/>
                <w:szCs w:val="24"/>
              </w:rPr>
            </w:pPr>
            <w:r>
              <w:rPr>
                <w:rFonts w:ascii="標楷體" w:eastAsia="標楷體" w:hAnsi="標楷體" w:cs="Times New Roman"/>
                <w:szCs w:val="24"/>
              </w:rPr>
              <w:t>10</w:t>
            </w:r>
          </w:p>
        </w:tc>
        <w:tc>
          <w:tcPr>
            <w:tcW w:w="862" w:type="dxa"/>
            <w:shd w:val="clear" w:color="auto" w:fill="auto"/>
          </w:tcPr>
          <w:p w14:paraId="0E2CB220" w14:textId="77777777" w:rsidR="00140ABC" w:rsidRPr="00DE015B" w:rsidRDefault="00140ABC" w:rsidP="00DE015B">
            <w:pPr>
              <w:spacing w:line="360" w:lineRule="exact"/>
              <w:rPr>
                <w:rFonts w:ascii="標楷體" w:eastAsia="標楷體" w:hAnsi="標楷體" w:cs="Times New Roman"/>
                <w:szCs w:val="24"/>
              </w:rPr>
            </w:pPr>
          </w:p>
        </w:tc>
      </w:tr>
      <w:tr w:rsidR="005905EB" w:rsidRPr="00DE015B" w14:paraId="11ED2BBB" w14:textId="77777777" w:rsidTr="005905EB">
        <w:trPr>
          <w:trHeight w:val="621"/>
        </w:trPr>
        <w:tc>
          <w:tcPr>
            <w:tcW w:w="2890" w:type="dxa"/>
            <w:gridSpan w:val="2"/>
            <w:shd w:val="clear" w:color="auto" w:fill="auto"/>
            <w:vAlign w:val="center"/>
          </w:tcPr>
          <w:p w14:paraId="738B985C" w14:textId="2905CDF7" w:rsidR="005905EB" w:rsidRPr="00140ABC" w:rsidRDefault="005905EB" w:rsidP="000B18B6">
            <w:pPr>
              <w:spacing w:line="3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總分</w:t>
            </w:r>
          </w:p>
        </w:tc>
        <w:tc>
          <w:tcPr>
            <w:tcW w:w="7795" w:type="dxa"/>
            <w:gridSpan w:val="3"/>
            <w:shd w:val="clear" w:color="auto" w:fill="auto"/>
            <w:vAlign w:val="center"/>
          </w:tcPr>
          <w:p w14:paraId="07E90839" w14:textId="77777777" w:rsidR="005905EB" w:rsidRPr="00DE015B" w:rsidRDefault="005905EB" w:rsidP="00DE015B">
            <w:pPr>
              <w:spacing w:line="360" w:lineRule="exact"/>
              <w:rPr>
                <w:rFonts w:ascii="標楷體" w:eastAsia="標楷體" w:hAnsi="標楷體" w:cs="Times New Roman"/>
                <w:szCs w:val="24"/>
              </w:rPr>
            </w:pPr>
          </w:p>
        </w:tc>
      </w:tr>
    </w:tbl>
    <w:p w14:paraId="2A7B358B" w14:textId="77777777" w:rsidR="00C44956" w:rsidRPr="00E51B3A" w:rsidRDefault="00C44956" w:rsidP="00D34906">
      <w:pPr>
        <w:spacing w:line="500" w:lineRule="exact"/>
      </w:pPr>
    </w:p>
    <w:sectPr w:rsidR="00C44956" w:rsidRPr="00E51B3A" w:rsidSect="00042BBF">
      <w:pgSz w:w="11906" w:h="16838"/>
      <w:pgMar w:top="680" w:right="1276" w:bottom="68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C820" w14:textId="77777777" w:rsidR="00876A58" w:rsidRDefault="00876A58" w:rsidP="00B77073">
      <w:r>
        <w:separator/>
      </w:r>
    </w:p>
  </w:endnote>
  <w:endnote w:type="continuationSeparator" w:id="0">
    <w:p w14:paraId="7B38002D" w14:textId="77777777" w:rsidR="00876A58" w:rsidRDefault="00876A58" w:rsidP="00B7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82AE" w14:textId="77777777" w:rsidR="00876A58" w:rsidRDefault="00876A58" w:rsidP="00B77073">
      <w:r>
        <w:separator/>
      </w:r>
    </w:p>
  </w:footnote>
  <w:footnote w:type="continuationSeparator" w:id="0">
    <w:p w14:paraId="6E96236C" w14:textId="77777777" w:rsidR="00876A58" w:rsidRDefault="00876A58" w:rsidP="00B7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561"/>
    <w:multiLevelType w:val="hybridMultilevel"/>
    <w:tmpl w:val="CD42E678"/>
    <w:lvl w:ilvl="0" w:tplc="60866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A50E95"/>
    <w:multiLevelType w:val="hybridMultilevel"/>
    <w:tmpl w:val="CD42E678"/>
    <w:lvl w:ilvl="0" w:tplc="60866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F74B54"/>
    <w:multiLevelType w:val="hybridMultilevel"/>
    <w:tmpl w:val="CD42E678"/>
    <w:lvl w:ilvl="0" w:tplc="60866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CF6110"/>
    <w:multiLevelType w:val="hybridMultilevel"/>
    <w:tmpl w:val="CD42E678"/>
    <w:lvl w:ilvl="0" w:tplc="60866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043C0"/>
    <w:multiLevelType w:val="hybridMultilevel"/>
    <w:tmpl w:val="90ACB248"/>
    <w:lvl w:ilvl="0" w:tplc="D3528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9A5CD6"/>
    <w:multiLevelType w:val="hybridMultilevel"/>
    <w:tmpl w:val="0E529E0A"/>
    <w:lvl w:ilvl="0" w:tplc="9C5A970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326E63"/>
    <w:multiLevelType w:val="hybridMultilevel"/>
    <w:tmpl w:val="C358C164"/>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997D38"/>
    <w:multiLevelType w:val="hybridMultilevel"/>
    <w:tmpl w:val="49A82152"/>
    <w:lvl w:ilvl="0" w:tplc="8982A2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ED5DE1"/>
    <w:multiLevelType w:val="hybridMultilevel"/>
    <w:tmpl w:val="CD42E678"/>
    <w:lvl w:ilvl="0" w:tplc="60866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935559"/>
    <w:multiLevelType w:val="hybridMultilevel"/>
    <w:tmpl w:val="CF0C7718"/>
    <w:lvl w:ilvl="0" w:tplc="E9564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53582E"/>
    <w:multiLevelType w:val="hybridMultilevel"/>
    <w:tmpl w:val="5274C562"/>
    <w:lvl w:ilvl="0" w:tplc="F17E01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A81B9C"/>
    <w:multiLevelType w:val="hybridMultilevel"/>
    <w:tmpl w:val="50924690"/>
    <w:lvl w:ilvl="0" w:tplc="6162568A">
      <w:start w:val="1"/>
      <w:numFmt w:val="taiwaneseCountingThousand"/>
      <w:lvlText w:val="%1、"/>
      <w:lvlJc w:val="left"/>
      <w:pPr>
        <w:ind w:left="586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B65258"/>
    <w:multiLevelType w:val="hybridMultilevel"/>
    <w:tmpl w:val="90ACB248"/>
    <w:lvl w:ilvl="0" w:tplc="D3528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9"/>
  </w:num>
  <w:num w:numId="4">
    <w:abstractNumId w:val="4"/>
  </w:num>
  <w:num w:numId="5">
    <w:abstractNumId w:val="12"/>
  </w:num>
  <w:num w:numId="6">
    <w:abstractNumId w:val="1"/>
  </w:num>
  <w:num w:numId="7">
    <w:abstractNumId w:val="3"/>
  </w:num>
  <w:num w:numId="8">
    <w:abstractNumId w:val="8"/>
  </w:num>
  <w:num w:numId="9">
    <w:abstractNumId w:val="0"/>
  </w:num>
  <w:num w:numId="10">
    <w:abstractNumId w:val="6"/>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3A"/>
    <w:rsid w:val="000225DD"/>
    <w:rsid w:val="000415DC"/>
    <w:rsid w:val="00042BBF"/>
    <w:rsid w:val="000A37AB"/>
    <w:rsid w:val="000B18B6"/>
    <w:rsid w:val="000B5377"/>
    <w:rsid w:val="000D017D"/>
    <w:rsid w:val="0011603D"/>
    <w:rsid w:val="00135ED6"/>
    <w:rsid w:val="00140ABC"/>
    <w:rsid w:val="001506B9"/>
    <w:rsid w:val="0016402B"/>
    <w:rsid w:val="001D4AD0"/>
    <w:rsid w:val="001E2233"/>
    <w:rsid w:val="00203BE8"/>
    <w:rsid w:val="00206F35"/>
    <w:rsid w:val="00230F9B"/>
    <w:rsid w:val="00251823"/>
    <w:rsid w:val="00255FC8"/>
    <w:rsid w:val="002B6053"/>
    <w:rsid w:val="002F0C15"/>
    <w:rsid w:val="002F183C"/>
    <w:rsid w:val="00316FB5"/>
    <w:rsid w:val="003224EB"/>
    <w:rsid w:val="00365A1F"/>
    <w:rsid w:val="003B2124"/>
    <w:rsid w:val="003F272B"/>
    <w:rsid w:val="003F631C"/>
    <w:rsid w:val="00433C48"/>
    <w:rsid w:val="00480593"/>
    <w:rsid w:val="004C010A"/>
    <w:rsid w:val="0051559D"/>
    <w:rsid w:val="00586161"/>
    <w:rsid w:val="005905EB"/>
    <w:rsid w:val="005B78EE"/>
    <w:rsid w:val="005C4F9F"/>
    <w:rsid w:val="005D3896"/>
    <w:rsid w:val="0060263F"/>
    <w:rsid w:val="006E2A99"/>
    <w:rsid w:val="007154A4"/>
    <w:rsid w:val="00745626"/>
    <w:rsid w:val="008408E8"/>
    <w:rsid w:val="0085145C"/>
    <w:rsid w:val="00876A58"/>
    <w:rsid w:val="008A0F64"/>
    <w:rsid w:val="008C471E"/>
    <w:rsid w:val="008E525D"/>
    <w:rsid w:val="009C0393"/>
    <w:rsid w:val="009D5192"/>
    <w:rsid w:val="00A56B8A"/>
    <w:rsid w:val="00A7306D"/>
    <w:rsid w:val="00A822DE"/>
    <w:rsid w:val="00AA7E60"/>
    <w:rsid w:val="00B06F6C"/>
    <w:rsid w:val="00B16E5B"/>
    <w:rsid w:val="00B401FD"/>
    <w:rsid w:val="00B5711E"/>
    <w:rsid w:val="00B602CB"/>
    <w:rsid w:val="00B77073"/>
    <w:rsid w:val="00B95852"/>
    <w:rsid w:val="00BC06CE"/>
    <w:rsid w:val="00C20F27"/>
    <w:rsid w:val="00C21AE5"/>
    <w:rsid w:val="00C44956"/>
    <w:rsid w:val="00C60444"/>
    <w:rsid w:val="00C84255"/>
    <w:rsid w:val="00CA769A"/>
    <w:rsid w:val="00CE734D"/>
    <w:rsid w:val="00D34906"/>
    <w:rsid w:val="00D712D8"/>
    <w:rsid w:val="00D82BB7"/>
    <w:rsid w:val="00D864E6"/>
    <w:rsid w:val="00DC2322"/>
    <w:rsid w:val="00DC78B4"/>
    <w:rsid w:val="00DE015B"/>
    <w:rsid w:val="00E15568"/>
    <w:rsid w:val="00E51B3A"/>
    <w:rsid w:val="00E7579B"/>
    <w:rsid w:val="00E816C0"/>
    <w:rsid w:val="00EA6931"/>
    <w:rsid w:val="00EF1DA5"/>
    <w:rsid w:val="00F51518"/>
    <w:rsid w:val="00F90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B5B1"/>
  <w15:docId w15:val="{3C164050-FCB1-4E1A-81B3-B19DA8EA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E51B3A"/>
    <w:pPr>
      <w:widowControl/>
      <w:spacing w:after="160" w:line="240" w:lineRule="exact"/>
    </w:pPr>
    <w:rPr>
      <w:rFonts w:ascii="Verdana" w:eastAsia="Batang" w:hAnsi="Verdana" w:cs="Times New Roman"/>
      <w:kern w:val="0"/>
      <w:sz w:val="20"/>
      <w:szCs w:val="20"/>
      <w:lang w:eastAsia="en-US"/>
    </w:rPr>
  </w:style>
  <w:style w:type="paragraph" w:styleId="a4">
    <w:name w:val="List Paragraph"/>
    <w:basedOn w:val="a"/>
    <w:uiPriority w:val="34"/>
    <w:qFormat/>
    <w:rsid w:val="00E51B3A"/>
    <w:pPr>
      <w:ind w:leftChars="200" w:left="480"/>
    </w:pPr>
  </w:style>
  <w:style w:type="character" w:customStyle="1" w:styleId="dialogtextdisabled1">
    <w:name w:val="dialog_text_disabled1"/>
    <w:basedOn w:val="a0"/>
    <w:rsid w:val="000B5377"/>
    <w:rPr>
      <w:rFonts w:ascii="sөũ" w:hAnsi="sөũ" w:hint="default"/>
      <w:color w:val="669999"/>
      <w:sz w:val="24"/>
      <w:szCs w:val="24"/>
    </w:rPr>
  </w:style>
  <w:style w:type="paragraph" w:styleId="a5">
    <w:name w:val="header"/>
    <w:basedOn w:val="a"/>
    <w:link w:val="a6"/>
    <w:uiPriority w:val="99"/>
    <w:unhideWhenUsed/>
    <w:rsid w:val="00B77073"/>
    <w:pPr>
      <w:tabs>
        <w:tab w:val="center" w:pos="4153"/>
        <w:tab w:val="right" w:pos="8306"/>
      </w:tabs>
      <w:snapToGrid w:val="0"/>
    </w:pPr>
    <w:rPr>
      <w:sz w:val="20"/>
      <w:szCs w:val="20"/>
    </w:rPr>
  </w:style>
  <w:style w:type="character" w:customStyle="1" w:styleId="a6">
    <w:name w:val="頁首 字元"/>
    <w:basedOn w:val="a0"/>
    <w:link w:val="a5"/>
    <w:uiPriority w:val="99"/>
    <w:rsid w:val="00B77073"/>
    <w:rPr>
      <w:sz w:val="20"/>
      <w:szCs w:val="20"/>
    </w:rPr>
  </w:style>
  <w:style w:type="paragraph" w:styleId="a7">
    <w:name w:val="footer"/>
    <w:basedOn w:val="a"/>
    <w:link w:val="a8"/>
    <w:uiPriority w:val="99"/>
    <w:unhideWhenUsed/>
    <w:rsid w:val="00B77073"/>
    <w:pPr>
      <w:tabs>
        <w:tab w:val="center" w:pos="4153"/>
        <w:tab w:val="right" w:pos="8306"/>
      </w:tabs>
      <w:snapToGrid w:val="0"/>
    </w:pPr>
    <w:rPr>
      <w:sz w:val="20"/>
      <w:szCs w:val="20"/>
    </w:rPr>
  </w:style>
  <w:style w:type="character" w:customStyle="1" w:styleId="a8">
    <w:name w:val="頁尾 字元"/>
    <w:basedOn w:val="a0"/>
    <w:link w:val="a7"/>
    <w:uiPriority w:val="99"/>
    <w:rsid w:val="00B77073"/>
    <w:rPr>
      <w:sz w:val="20"/>
      <w:szCs w:val="20"/>
    </w:rPr>
  </w:style>
  <w:style w:type="paragraph" w:styleId="a9">
    <w:name w:val="Balloon Text"/>
    <w:basedOn w:val="a"/>
    <w:link w:val="aa"/>
    <w:uiPriority w:val="99"/>
    <w:semiHidden/>
    <w:unhideWhenUsed/>
    <w:rsid w:val="00C21A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1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6525-E691-4076-BDBA-D98F699A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廖秀敏</dc:creator>
  <cp:lastModifiedBy>王嬿茹</cp:lastModifiedBy>
  <cp:revision>26</cp:revision>
  <cp:lastPrinted>2019-11-29T09:46:00Z</cp:lastPrinted>
  <dcterms:created xsi:type="dcterms:W3CDTF">2019-11-13T11:18:00Z</dcterms:created>
  <dcterms:modified xsi:type="dcterms:W3CDTF">2020-03-10T05:33:00Z</dcterms:modified>
</cp:coreProperties>
</file>