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820EC" w14:textId="77777777"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附表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2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桃園市政府性別培力、宣導執行成果表</w:t>
      </w:r>
    </w:p>
    <w:p w14:paraId="3E94062E" w14:textId="77777777"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color w:val="000000" w:themeColor="text1"/>
        </w:rPr>
        <w:t>(</w:t>
      </w:r>
      <w:r w:rsidRPr="00BF0384">
        <w:rPr>
          <w:rFonts w:ascii="Times New Roman" w:eastAsia="標楷體" w:hAnsi="Times New Roman"/>
          <w:color w:val="000000" w:themeColor="text1"/>
        </w:rPr>
        <w:t>每課程</w:t>
      </w:r>
      <w:r w:rsidRPr="00BF0384">
        <w:rPr>
          <w:rFonts w:ascii="Times New Roman" w:eastAsia="標楷體" w:hAnsi="Times New Roman"/>
          <w:color w:val="000000" w:themeColor="text1"/>
        </w:rPr>
        <w:t>/</w:t>
      </w:r>
      <w:r w:rsidRPr="00BF0384">
        <w:rPr>
          <w:rFonts w:ascii="Times New Roman" w:eastAsia="標楷體" w:hAnsi="Times New Roman"/>
          <w:color w:val="000000" w:themeColor="text1"/>
        </w:rPr>
        <w:t>活動填報</w:t>
      </w:r>
      <w:r w:rsidRPr="00BF0384">
        <w:rPr>
          <w:rFonts w:ascii="Times New Roman" w:eastAsia="標楷體" w:hAnsi="Times New Roman"/>
          <w:color w:val="000000" w:themeColor="text1"/>
        </w:rPr>
        <w:t>1</w:t>
      </w:r>
      <w:r w:rsidRPr="00BF0384">
        <w:rPr>
          <w:rFonts w:ascii="Times New Roman" w:eastAsia="標楷體" w:hAnsi="Times New Roman"/>
          <w:color w:val="000000" w:themeColor="text1"/>
        </w:rPr>
        <w:t>表</w:t>
      </w:r>
      <w:r w:rsidRPr="00BF0384">
        <w:rPr>
          <w:rFonts w:ascii="Times New Roman" w:eastAsia="標楷體" w:hAnsi="Times New Roman"/>
          <w:color w:val="000000" w:themeColor="text1"/>
        </w:rPr>
        <w:t>)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4677"/>
        <w:gridCol w:w="3333"/>
      </w:tblGrid>
      <w:tr w:rsidR="00446B67" w:rsidRPr="00BF0384" w14:paraId="268BE346" w14:textId="77777777" w:rsidTr="00ED04AB">
        <w:trPr>
          <w:trHeight w:val="64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BDE3B5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127" w:type="dxa"/>
            <w:vAlign w:val="center"/>
          </w:tcPr>
          <w:p w14:paraId="42D57E28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55917C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資料內容</w:t>
            </w:r>
          </w:p>
        </w:tc>
        <w:tc>
          <w:tcPr>
            <w:tcW w:w="3333" w:type="dxa"/>
            <w:vAlign w:val="center"/>
          </w:tcPr>
          <w:p w14:paraId="54BB0A6D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46B67" w:rsidRPr="00BF0384" w14:paraId="062020F3" w14:textId="77777777" w:rsidTr="00ED04AB">
        <w:trPr>
          <w:trHeight w:val="95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9AA894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4B421FCA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主辦單位</w:t>
            </w:r>
          </w:p>
        </w:tc>
        <w:tc>
          <w:tcPr>
            <w:tcW w:w="4677" w:type="dxa"/>
            <w:shd w:val="clear" w:color="auto" w:fill="auto"/>
          </w:tcPr>
          <w:p w14:paraId="42CA630C" w14:textId="1340437E" w:rsidR="00446B67" w:rsidRPr="00611131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Cs w:val="24"/>
                <w:u w:val="single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4C6E67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18pt;height:13.8pt" o:ole="">
                  <v:imagedata r:id="rId7" o:title=""/>
                </v:shape>
                <w:control r:id="rId8" w:name="DefaultOcxName141" w:shapeid="_x0000_i1070"/>
              </w:object>
            </w:r>
            <w:r w:rsidRPr="00611131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0"/>
                <w:szCs w:val="20"/>
              </w:rPr>
              <w:t>政府單位，名稱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：</w:t>
            </w:r>
            <w:r w:rsidR="00611131" w:rsidRPr="00611131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桃園市政府勞動局</w:t>
            </w:r>
          </w:p>
          <w:p w14:paraId="694694F4" w14:textId="37C8B35B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427DE31E">
                <v:shape id="_x0000_i1073" type="#_x0000_t75" style="width:18pt;height:13.8pt" o:ole="">
                  <v:imagedata r:id="rId9" o:title=""/>
                </v:shape>
                <w:control r:id="rId10" w:name="DefaultOcxName741" w:shapeid="_x0000_i1073"/>
              </w:object>
            </w:r>
            <w:r w:rsidRPr="00611131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0"/>
                <w:szCs w:val="20"/>
              </w:rPr>
              <w:t>民間單位，名稱：</w:t>
            </w:r>
            <w:r w:rsidRPr="00611131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__________</w:t>
            </w:r>
          </w:p>
        </w:tc>
        <w:tc>
          <w:tcPr>
            <w:tcW w:w="3333" w:type="dxa"/>
            <w:vAlign w:val="center"/>
          </w:tcPr>
          <w:p w14:paraId="53CD4D6D" w14:textId="77777777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14:paraId="13E6EBBE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9CAF4B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2AFD9FBF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協辦單位</w:t>
            </w:r>
          </w:p>
        </w:tc>
        <w:tc>
          <w:tcPr>
            <w:tcW w:w="4677" w:type="dxa"/>
            <w:shd w:val="clear" w:color="auto" w:fill="auto"/>
          </w:tcPr>
          <w:p w14:paraId="5EE63182" w14:textId="0CB18AF1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727ED02F">
                <v:shape id="_x0000_i1076" type="#_x0000_t75" style="width:18pt;height:13.8pt" o:ole="">
                  <v:imagedata r:id="rId9" o:title=""/>
                </v:shape>
                <w:control r:id="rId11" w:name="DefaultOcxName1411" w:shapeid="_x0000_i107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</w:t>
            </w:r>
          </w:p>
          <w:p w14:paraId="4006413C" w14:textId="4A28D550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0605968F">
                <v:shape id="_x0000_i1079" type="#_x0000_t75" style="width:18pt;height:13.8pt" o:ole="">
                  <v:imagedata r:id="rId9" o:title=""/>
                </v:shape>
                <w:control r:id="rId12" w:name="DefaultOcxName7411" w:shapeid="_x0000_i1079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___________</w:t>
            </w:r>
          </w:p>
        </w:tc>
        <w:tc>
          <w:tcPr>
            <w:tcW w:w="3333" w:type="dxa"/>
            <w:vAlign w:val="center"/>
          </w:tcPr>
          <w:p w14:paraId="4B01820C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14:paraId="39ED37D0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EE8249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0508EF15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4677" w:type="dxa"/>
            <w:shd w:val="clear" w:color="auto" w:fill="auto"/>
          </w:tcPr>
          <w:p w14:paraId="42C8B3D3" w14:textId="7F812B9C" w:rsidR="00446B67" w:rsidRPr="00BF0384" w:rsidRDefault="00611131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3333" w:type="dxa"/>
          </w:tcPr>
          <w:p w14:paraId="28A76C29" w14:textId="77777777" w:rsidR="00446B67" w:rsidRPr="00BF0384" w:rsidRDefault="00446B67" w:rsidP="00ED04AB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555133B3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C82F503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14:paraId="26FE54C0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活動日期</w:t>
            </w:r>
          </w:p>
        </w:tc>
        <w:tc>
          <w:tcPr>
            <w:tcW w:w="4677" w:type="dxa"/>
            <w:shd w:val="clear" w:color="auto" w:fill="auto"/>
          </w:tcPr>
          <w:p w14:paraId="0606095E" w14:textId="39B840F3" w:rsidR="00446B67" w:rsidRPr="00BF0384" w:rsidRDefault="00DE47F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109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日、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109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3333" w:type="dxa"/>
          </w:tcPr>
          <w:p w14:paraId="30A216CB" w14:textId="77777777" w:rsidR="00446B67" w:rsidRPr="00BF0384" w:rsidRDefault="00446B67" w:rsidP="00ED04AB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187E46C9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7393E95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14:paraId="5A22AAD3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4677" w:type="dxa"/>
            <w:shd w:val="clear" w:color="auto" w:fill="auto"/>
          </w:tcPr>
          <w:p w14:paraId="7F00528A" w14:textId="1CFDD6FA" w:rsidR="00446B67" w:rsidRPr="00BF0384" w:rsidRDefault="00DE47F7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270A9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Pr="00A270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政府勞動局10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A270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A270A9">
              <w:rPr>
                <w:rFonts w:ascii="標楷體" w:eastAsia="標楷體" w:hAnsi="標楷體" w:hint="eastAsia"/>
                <w:sz w:val="28"/>
                <w:szCs w:val="28"/>
              </w:rPr>
              <w:t>度工會幹部成長營-性別平權培力</w:t>
            </w:r>
          </w:p>
        </w:tc>
        <w:tc>
          <w:tcPr>
            <w:tcW w:w="3333" w:type="dxa"/>
          </w:tcPr>
          <w:p w14:paraId="4A6B7BEE" w14:textId="77777777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2B0FF2F7" w14:textId="77777777" w:rsidTr="00ED04AB">
        <w:trPr>
          <w:trHeight w:val="51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F6E4105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14:paraId="03C138E8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活動對象</w:t>
            </w:r>
          </w:p>
        </w:tc>
        <w:tc>
          <w:tcPr>
            <w:tcW w:w="4677" w:type="dxa"/>
            <w:shd w:val="clear" w:color="auto" w:fill="auto"/>
          </w:tcPr>
          <w:p w14:paraId="26B0D8D3" w14:textId="2AEA6E30" w:rsidR="00446B67" w:rsidRPr="00BF0384" w:rsidRDefault="00DE47F7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本市轄內</w:t>
            </w:r>
            <w:r w:rsidRPr="00773799">
              <w:rPr>
                <w:rFonts w:ascii="標楷體" w:eastAsia="標楷體" w:hAnsi="標楷體" w:hint="eastAsia"/>
                <w:sz w:val="28"/>
                <w:szCs w:val="28"/>
              </w:rPr>
              <w:t>工會</w:t>
            </w:r>
            <w:r w:rsidRPr="004B4088">
              <w:rPr>
                <w:rFonts w:ascii="標楷體" w:eastAsia="標楷體" w:hAnsi="標楷體" w:hint="eastAsia"/>
                <w:sz w:val="28"/>
                <w:szCs w:val="28"/>
              </w:rPr>
              <w:t>幹部</w:t>
            </w:r>
            <w:r w:rsidRPr="00C82008">
              <w:rPr>
                <w:rFonts w:ascii="標楷體" w:eastAsia="標楷體" w:hAnsi="標楷體" w:hint="eastAsia"/>
                <w:sz w:val="28"/>
                <w:szCs w:val="28"/>
              </w:rPr>
              <w:t>、會員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C82008">
              <w:rPr>
                <w:rFonts w:ascii="標楷體" w:eastAsia="標楷體" w:hAnsi="標楷體" w:hint="eastAsia"/>
                <w:sz w:val="28"/>
                <w:szCs w:val="28"/>
              </w:rPr>
              <w:t>會務人員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  <w:tc>
          <w:tcPr>
            <w:tcW w:w="3333" w:type="dxa"/>
          </w:tcPr>
          <w:p w14:paraId="697AE77F" w14:textId="77777777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03F6D205" w14:textId="77777777" w:rsidTr="00ED04AB">
        <w:trPr>
          <w:trHeight w:val="9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E8C2ED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14:paraId="058AC5BC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辦理形式</w:t>
            </w:r>
          </w:p>
        </w:tc>
        <w:tc>
          <w:tcPr>
            <w:tcW w:w="4677" w:type="dxa"/>
            <w:shd w:val="clear" w:color="auto" w:fill="auto"/>
          </w:tcPr>
          <w:p w14:paraId="37D06349" w14:textId="363AE1B1" w:rsidR="00446B67" w:rsidRPr="00BF0384" w:rsidRDefault="00DE47F7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授課及實務經驗分享</w:t>
            </w:r>
          </w:p>
        </w:tc>
        <w:tc>
          <w:tcPr>
            <w:tcW w:w="3333" w:type="dxa"/>
          </w:tcPr>
          <w:p w14:paraId="507DC4E1" w14:textId="0BF11846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4CE3C43B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E3BAF9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14:paraId="71889BED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活動類別</w:t>
            </w:r>
          </w:p>
        </w:tc>
        <w:tc>
          <w:tcPr>
            <w:tcW w:w="4677" w:type="dxa"/>
            <w:shd w:val="clear" w:color="auto" w:fill="auto"/>
          </w:tcPr>
          <w:p w14:paraId="20D2B927" w14:textId="2F299A3D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1F6DAC9D">
                <v:shape id="_x0000_i1082" type="#_x0000_t75" style="width:18pt;height:13.8pt" o:ole="">
                  <v:imagedata r:id="rId7" o:title=""/>
                </v:shape>
                <w:control r:id="rId13" w:name="DefaultOcxName14" w:shapeid="_x0000_i108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性別平等政策綱領</w:t>
            </w:r>
          </w:p>
          <w:p w14:paraId="4F15CFEE" w14:textId="4D613162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4D83D382">
                <v:shape id="_x0000_i1085" type="#_x0000_t75" style="width:18pt;height:13.8pt" o:ole="">
                  <v:imagedata r:id="rId9" o:title=""/>
                </v:shape>
                <w:control r:id="rId14" w:name="DefaultOcxName" w:shapeid="_x0000_i108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權力、決策與影響力</w:t>
            </w:r>
          </w:p>
          <w:p w14:paraId="12D6B13C" w14:textId="29C1343E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5555FF36">
                <v:shape id="_x0000_i1088" type="#_x0000_t75" style="width:18pt;height:13.8pt" o:ole="">
                  <v:imagedata r:id="rId7" o:title=""/>
                </v:shape>
                <w:control r:id="rId15" w:name="DefaultOcxName7" w:shapeid="_x0000_i108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就業、經濟與福利</w:t>
            </w:r>
          </w:p>
          <w:p w14:paraId="515A011F" w14:textId="388033FE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5F2CA46A">
                <v:shape id="_x0000_i1091" type="#_x0000_t75" style="width:18pt;height:13.8pt" o:ole="">
                  <v:imagedata r:id="rId9" o:title=""/>
                </v:shape>
                <w:control r:id="rId16" w:name="DefaultOcxName1" w:shapeid="_x0000_i109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教育、文化與媒體</w:t>
            </w:r>
          </w:p>
          <w:p w14:paraId="04E9D031" w14:textId="2B856123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4EAC62A1">
                <v:shape id="_x0000_i1094" type="#_x0000_t75" style="width:18pt;height:13.8pt" o:ole="">
                  <v:imagedata r:id="rId9" o:title=""/>
                </v:shape>
                <w:control r:id="rId17" w:name="DefaultOcxName3" w:shapeid="_x0000_i1094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人身安全與司法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</w:t>
            </w:r>
          </w:p>
          <w:p w14:paraId="18E497AF" w14:textId="07A51090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46509873">
                <v:shape id="_x0000_i1097" type="#_x0000_t75" style="width:18pt;height:13.8pt" o:ole="">
                  <v:imagedata r:id="rId9" o:title=""/>
                </v:shape>
                <w:control r:id="rId18" w:name="DefaultOcxName4" w:shapeid="_x0000_i1097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人口、婚姻與家庭</w:t>
            </w:r>
          </w:p>
          <w:p w14:paraId="149BCAAD" w14:textId="053AA041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1CF54514">
                <v:shape id="_x0000_i1100" type="#_x0000_t75" style="width:18pt;height:13.8pt" o:ole="">
                  <v:imagedata r:id="rId9" o:title=""/>
                </v:shape>
                <w:control r:id="rId19" w:name="DefaultOcxName2" w:shapeid="_x0000_i110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健康、醫療與照顧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                                  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0867C6D1">
                <v:shape id="_x0000_i1103" type="#_x0000_t75" style="width:18pt;height:13.8pt" o:ole="">
                  <v:imagedata r:id="rId9" o:title=""/>
                </v:shape>
                <w:control r:id="rId20" w:name="DefaultOcxName5" w:shapeid="_x0000_i110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環境、能源與科技</w:t>
            </w:r>
          </w:p>
          <w:p w14:paraId="37BB07DE" w14:textId="5F8F21CF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1042FC65">
                <v:shape id="_x0000_i1106" type="#_x0000_t75" style="width:18pt;height:13.8pt" o:ole="">
                  <v:imagedata r:id="rId7" o:title=""/>
                </v:shape>
                <w:control r:id="rId21" w:name="DefaultOcxName74" w:shapeid="_x0000_i110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性別主流化的發展與運用</w:t>
            </w:r>
          </w:p>
          <w:p w14:paraId="1D29B242" w14:textId="627588B7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74D97891">
                <v:shape id="_x0000_i1109" type="#_x0000_t75" style="width:18pt;height:13.8pt" o:ole="">
                  <v:imagedata r:id="rId9" o:title=""/>
                </v:shape>
                <w:control r:id="rId22" w:name="DefaultOcxName742" w:shapeid="_x0000_i1109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歷史發展與總體架構</w:t>
            </w:r>
          </w:p>
          <w:p w14:paraId="63A842F3" w14:textId="144509CF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55F356A0">
                <v:shape id="_x0000_i1112" type="#_x0000_t75" style="width:18pt;height:13.8pt" o:ole="">
                  <v:imagedata r:id="rId9" o:title=""/>
                </v:shape>
                <w:control r:id="rId23" w:name="DefaultOcxName743" w:shapeid="_x0000_i111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工具概念與實例運用</w:t>
            </w:r>
          </w:p>
          <w:p w14:paraId="491D4E3A" w14:textId="057678B6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734F0D04">
                <v:shape id="_x0000_i1115" type="#_x0000_t75" style="width:18pt;height:13.8pt" o:ole="">
                  <v:imagedata r:id="rId9" o:title=""/>
                </v:shape>
                <w:control r:id="rId24" w:name="DefaultOcxName744" w:shapeid="_x0000_i111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性別統計</w:t>
            </w:r>
          </w:p>
          <w:p w14:paraId="044EDAC5" w14:textId="4DA523E7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3AB34AF0">
                <v:shape id="_x0000_i1118" type="#_x0000_t75" style="width:18pt;height:13.8pt" o:ole="">
                  <v:imagedata r:id="rId9" o:title=""/>
                </v:shape>
                <w:control r:id="rId25" w:name="DefaultOcxName745" w:shapeid="_x0000_i111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性別影響評估</w:t>
            </w:r>
          </w:p>
          <w:p w14:paraId="602B66EB" w14:textId="4CF8FAAC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0B4EB607">
                <v:shape id="_x0000_i1121" type="#_x0000_t75" style="width:18pt;height:13.8pt" o:ole="">
                  <v:imagedata r:id="rId9" o:title=""/>
                </v:shape>
                <w:control r:id="rId26" w:name="DefaultOcxName746" w:shapeid="_x0000_i112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性別預算</w:t>
            </w:r>
          </w:p>
          <w:p w14:paraId="7C183DC7" w14:textId="2A5A5EFF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65A9E00A">
                <v:shape id="_x0000_i1124" type="#_x0000_t75" style="width:18pt;height:13.8pt" o:ole="">
                  <v:imagedata r:id="rId9" o:title=""/>
                </v:shape>
                <w:control r:id="rId27" w:name="DefaultOcxName747" w:shapeid="_x0000_i1124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性別分析</w:t>
            </w:r>
          </w:p>
          <w:p w14:paraId="4906F786" w14:textId="35AD6CD0" w:rsidR="00446B67" w:rsidRPr="00BF0384" w:rsidRDefault="00446B67" w:rsidP="00ED04AB">
            <w:pPr>
              <w:widowControl/>
              <w:spacing w:line="400" w:lineRule="exact"/>
              <w:ind w:left="420" w:hangingChars="150" w:hanging="420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4104D3FF">
                <v:shape id="_x0000_i1127" type="#_x0000_t75" style="width:18pt;height:13.8pt" o:ole="">
                  <v:imagedata r:id="rId7" o:title=""/>
                </v:shape>
                <w:control r:id="rId28" w:name="DefaultOcxName748" w:shapeid="_x0000_i1127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性別基礎概念或性別平等意識培力</w:t>
            </w:r>
          </w:p>
          <w:p w14:paraId="2B52AFD0" w14:textId="0792BE47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lastRenderedPageBreak/>
              <w:object w:dxaOrig="225" w:dyaOrig="225" w14:anchorId="7145BAD8">
                <v:shape id="_x0000_i1130" type="#_x0000_t75" style="width:18pt;height:13.8pt" o:ole="">
                  <v:imagedata r:id="rId9" o:title=""/>
                </v:shape>
                <w:control r:id="rId29" w:name="DefaultOcxName749" w:shapeid="_x0000_i113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CEDAW</w:t>
            </w:r>
          </w:p>
          <w:p w14:paraId="1E2F9A21" w14:textId="07C227B6" w:rsidR="00446B67" w:rsidRPr="00BF0384" w:rsidRDefault="00446B67" w:rsidP="00ED04AB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225" w:dyaOrig="225" w14:anchorId="1B1DEF2D">
                <v:shape id="_x0000_i1133" type="#_x0000_t75" style="width:18pt;height:13.8pt" o:ole="">
                  <v:imagedata r:id="rId9" o:title=""/>
                </v:shape>
                <w:control r:id="rId30" w:name="DefaultOcxName6" w:shapeid="_x0000_i113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其他新興議題</w:t>
            </w:r>
          </w:p>
        </w:tc>
        <w:tc>
          <w:tcPr>
            <w:tcW w:w="3333" w:type="dxa"/>
          </w:tcPr>
          <w:p w14:paraId="2338961E" w14:textId="77777777" w:rsidR="00446B67" w:rsidRPr="00E001ED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74CADFF5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8EBE246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14:paraId="6C548546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活動簡介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大綱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14:paraId="79E326F0" w14:textId="77777777" w:rsidR="00DE47F7" w:rsidRDefault="00DE47F7" w:rsidP="00DE47F7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528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4088">
              <w:rPr>
                <w:rFonts w:ascii="標楷體" w:eastAsia="標楷體" w:hAnsi="標楷體" w:hint="eastAsia"/>
                <w:sz w:val="28"/>
                <w:szCs w:val="28"/>
              </w:rPr>
              <w:t>提供轄內</w:t>
            </w:r>
            <w:r w:rsidRPr="00773799">
              <w:rPr>
                <w:rFonts w:ascii="標楷體" w:eastAsia="標楷體" w:hAnsi="標楷體" w:hint="eastAsia"/>
                <w:sz w:val="28"/>
                <w:szCs w:val="28"/>
              </w:rPr>
              <w:t>工會</w:t>
            </w:r>
            <w:r w:rsidRPr="004B4088">
              <w:rPr>
                <w:rFonts w:ascii="標楷體" w:eastAsia="標楷體" w:hAnsi="標楷體" w:hint="eastAsia"/>
                <w:sz w:val="28"/>
                <w:szCs w:val="28"/>
              </w:rPr>
              <w:t>幹部</w:t>
            </w:r>
            <w:r w:rsidRPr="00C82008">
              <w:rPr>
                <w:rFonts w:ascii="標楷體" w:eastAsia="標楷體" w:hAnsi="標楷體" w:hint="eastAsia"/>
                <w:sz w:val="28"/>
                <w:szCs w:val="28"/>
              </w:rPr>
              <w:t>、會員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C82008">
              <w:rPr>
                <w:rFonts w:ascii="標楷體" w:eastAsia="標楷體" w:hAnsi="標楷體" w:hint="eastAsia"/>
                <w:sz w:val="28"/>
                <w:szCs w:val="28"/>
              </w:rPr>
              <w:t>會務人員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等專業知識能力訓練，</w:t>
            </w:r>
            <w:r w:rsidRPr="004B4088">
              <w:rPr>
                <w:rFonts w:ascii="標楷體" w:eastAsia="標楷體" w:hAnsi="標楷體" w:hint="eastAsia"/>
                <w:sz w:val="28"/>
                <w:szCs w:val="28"/>
              </w:rPr>
              <w:t>強化轄內工會會務運作</w:t>
            </w:r>
            <w:r w:rsidRPr="004B2A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促使勞工團結，提升勞工地位及生活品質</w:t>
            </w:r>
            <w:r w:rsidRPr="004B408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189B336" w14:textId="5ED05895" w:rsidR="00446B67" w:rsidRPr="00DE47F7" w:rsidRDefault="00DE47F7" w:rsidP="00DE47F7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528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E47F7">
              <w:rPr>
                <w:rFonts w:ascii="標楷體" w:eastAsia="標楷體" w:hAnsi="標楷體" w:hint="eastAsia"/>
                <w:sz w:val="28"/>
                <w:szCs w:val="28"/>
              </w:rPr>
              <w:t>宣導工會幹部任一性別比例達1/3，縮短桃園市女性及男性工會幹部性別落差，並輔以性別相關法令，使工會幹部在參與會務跳脫制約框架，實際參與決策事項，並強化女性勞工領導，並宣導性別主流，使女性能融入工會決策性事務。</w:t>
            </w:r>
          </w:p>
        </w:tc>
        <w:tc>
          <w:tcPr>
            <w:tcW w:w="3333" w:type="dxa"/>
            <w:vAlign w:val="center"/>
          </w:tcPr>
          <w:p w14:paraId="1AACDDEF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請以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300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字以內文字描述。</w:t>
            </w:r>
          </w:p>
        </w:tc>
      </w:tr>
      <w:tr w:rsidR="00446B67" w:rsidRPr="00BF0384" w14:paraId="2D114071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FE9FF2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14:paraId="344AD25E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參加人數</w:t>
            </w:r>
          </w:p>
        </w:tc>
        <w:tc>
          <w:tcPr>
            <w:tcW w:w="4677" w:type="dxa"/>
            <w:shd w:val="clear" w:color="auto" w:fill="auto"/>
          </w:tcPr>
          <w:p w14:paraId="3575369E" w14:textId="552142FD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共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</w:t>
            </w:r>
            <w:r w:rsidR="00DE47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 w:rsidR="002C05E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16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人，分別為男性：</w:t>
            </w:r>
            <w:r w:rsidR="006E06B7" w:rsidRPr="006E06B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 w:rsidR="002C05E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>5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人；女性：</w:t>
            </w:r>
            <w:r w:rsidR="006E06B7" w:rsidRPr="006E06B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>7</w:t>
            </w:r>
            <w:r w:rsidR="002C05E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人。</w:t>
            </w:r>
          </w:p>
        </w:tc>
        <w:tc>
          <w:tcPr>
            <w:tcW w:w="3333" w:type="dxa"/>
            <w:vAlign w:val="center"/>
          </w:tcPr>
          <w:p w14:paraId="6CBD1666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活動以人數為計，非人次。</w:t>
            </w:r>
          </w:p>
        </w:tc>
      </w:tr>
      <w:tr w:rsidR="00446B67" w:rsidRPr="00BF0384" w14:paraId="3B319C9F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9E1EC6C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3B3795A5" w14:textId="6A3DD76C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相關照片</w:t>
            </w:r>
          </w:p>
        </w:tc>
        <w:tc>
          <w:tcPr>
            <w:tcW w:w="4677" w:type="dxa"/>
            <w:shd w:val="clear" w:color="auto" w:fill="auto"/>
          </w:tcPr>
          <w:p w14:paraId="485D99B2" w14:textId="7DC4D189" w:rsidR="006E06B7" w:rsidRPr="006E06B7" w:rsidRDefault="006E06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6E06B7">
              <w:rPr>
                <w:rFonts w:ascii="Times New Roman" w:eastAsia="標楷體" w:hAnsi="Times New Roman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5146DCDA" wp14:editId="0FDB71B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309880</wp:posOffset>
                  </wp:positionV>
                  <wp:extent cx="2575560" cy="1929765"/>
                  <wp:effectExtent l="0" t="0" r="0" b="0"/>
                  <wp:wrapTight wrapText="bothSides">
                    <wp:wrapPolygon edited="0">
                      <wp:start x="0" y="0"/>
                      <wp:lineTo x="0" y="21323"/>
                      <wp:lineTo x="21408" y="21323"/>
                      <wp:lineTo x="21408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192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06B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第一梯次授課情形</w:t>
            </w:r>
            <w:r w:rsidRPr="006E06B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:</w:t>
            </w:r>
            <w:r w:rsidRPr="006E06B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生活中的性平</w:t>
            </w:r>
          </w:p>
          <w:p w14:paraId="5E74AD70" w14:textId="47009CE7" w:rsidR="006E06B7" w:rsidRPr="00BF0384" w:rsidRDefault="006E06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E06B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94B095A" wp14:editId="695386B5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2310765</wp:posOffset>
                  </wp:positionV>
                  <wp:extent cx="2567940" cy="1925955"/>
                  <wp:effectExtent l="0" t="0" r="3810" b="0"/>
                  <wp:wrapTight wrapText="bothSides">
                    <wp:wrapPolygon edited="0">
                      <wp:start x="0" y="0"/>
                      <wp:lineTo x="0" y="21365"/>
                      <wp:lineTo x="21472" y="21365"/>
                      <wp:lineTo x="21472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192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06B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第二梯次授課情形</w:t>
            </w:r>
            <w:r w:rsidRPr="006E06B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:</w:t>
            </w:r>
            <w:r w:rsidRPr="006E06B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性平政策</w:t>
            </w:r>
          </w:p>
        </w:tc>
        <w:tc>
          <w:tcPr>
            <w:tcW w:w="3333" w:type="dxa"/>
            <w:vAlign w:val="center"/>
          </w:tcPr>
          <w:p w14:paraId="3D2E7B01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每張照片說明均為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字以內。</w:t>
            </w:r>
          </w:p>
        </w:tc>
      </w:tr>
      <w:tr w:rsidR="00446B67" w:rsidRPr="00BF0384" w14:paraId="3B92F13D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9524FA2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lastRenderedPageBreak/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65C5EBD1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相關連結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4F49567" w14:textId="7F013A5F" w:rsidR="00446B67" w:rsidRPr="00BF0384" w:rsidRDefault="00DE47F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DE47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https://tnews.cc/03/newscon904821.htm</w:t>
            </w:r>
            <w:r w:rsidR="00446B67"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333" w:type="dxa"/>
            <w:vAlign w:val="center"/>
          </w:tcPr>
          <w:p w14:paraId="66148082" w14:textId="5DA9A6EC" w:rsidR="00446B67" w:rsidRPr="00BF0384" w:rsidRDefault="00DE47F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桃園新聞網</w:t>
            </w:r>
          </w:p>
        </w:tc>
      </w:tr>
      <w:tr w:rsidR="00446B67" w:rsidRPr="00BF0384" w14:paraId="7B884BC6" w14:textId="77777777" w:rsidTr="00ED04AB">
        <w:trPr>
          <w:trHeight w:val="124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F3D8E39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4785EB1C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4677" w:type="dxa"/>
            <w:shd w:val="clear" w:color="auto" w:fill="auto"/>
          </w:tcPr>
          <w:p w14:paraId="7799792B" w14:textId="5E989965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單位名稱：</w:t>
            </w:r>
            <w:r w:rsidR="00DE47F7" w:rsidRPr="00DE47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>桃園市政府勞動局</w:t>
            </w:r>
          </w:p>
          <w:p w14:paraId="55CA6B51" w14:textId="781FAA20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聯絡人姓名：</w:t>
            </w:r>
            <w:r w:rsidR="00DE47F7" w:rsidRPr="00DE47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>簡</w:t>
            </w:r>
            <w:r w:rsidR="00DE47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>科員</w:t>
            </w:r>
          </w:p>
          <w:p w14:paraId="5183F6A4" w14:textId="777B79F6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聯絡人電話：</w:t>
            </w:r>
            <w:r w:rsidR="00DE47F7" w:rsidRPr="009D57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03-3322101#6802</w:t>
            </w:r>
          </w:p>
        </w:tc>
        <w:tc>
          <w:tcPr>
            <w:tcW w:w="3333" w:type="dxa"/>
            <w:vAlign w:val="center"/>
          </w:tcPr>
          <w:p w14:paraId="4E99C0DA" w14:textId="77777777" w:rsidR="00446B67" w:rsidRPr="00BF0384" w:rsidRDefault="00446B67" w:rsidP="00ED04AB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請留意個資，勿填列全名及個人手機。</w:t>
            </w:r>
          </w:p>
        </w:tc>
      </w:tr>
      <w:tr w:rsidR="00446B67" w:rsidRPr="00BF0384" w14:paraId="4331A407" w14:textId="77777777" w:rsidTr="00ED04AB">
        <w:trPr>
          <w:trHeight w:val="84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CFF04E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14:paraId="6242A019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講師資料</w:t>
            </w:r>
          </w:p>
        </w:tc>
        <w:tc>
          <w:tcPr>
            <w:tcW w:w="4677" w:type="dxa"/>
            <w:shd w:val="clear" w:color="auto" w:fill="auto"/>
          </w:tcPr>
          <w:p w14:paraId="3BFD37F6" w14:textId="1FC95AD7" w:rsidR="00DE47F7" w:rsidRDefault="00DE47F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一、第一梯次講師</w:t>
            </w:r>
          </w:p>
          <w:p w14:paraId="3104CF07" w14:textId="13DDB88A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</w:t>
            </w:r>
            <w:r w:rsidR="00DE47F7" w:rsidRPr="00DE47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陳韻如</w:t>
            </w:r>
          </w:p>
          <w:p w14:paraId="5C244A09" w14:textId="0AAEAB39" w:rsidR="00446B67" w:rsidRDefault="00446B67" w:rsidP="00ED04AB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</w:t>
            </w:r>
            <w:r w:rsidR="00DE47F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律師</w:t>
            </w:r>
          </w:p>
          <w:p w14:paraId="69EB5743" w14:textId="3A68120E" w:rsidR="00DE47F7" w:rsidRDefault="00DE47F7" w:rsidP="00ED04AB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二、第二梯次講師</w:t>
            </w:r>
          </w:p>
          <w:p w14:paraId="7739339A" w14:textId="1FC76B9B" w:rsidR="00DE47F7" w:rsidRPr="00BF0384" w:rsidRDefault="00DE47F7" w:rsidP="00DE47F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</w:t>
            </w:r>
            <w:r w:rsidRPr="00DE47F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陳祖德</w:t>
            </w:r>
          </w:p>
          <w:p w14:paraId="20870142" w14:textId="687D9035" w:rsidR="00DE47F7" w:rsidRPr="00BF0384" w:rsidRDefault="00DE47F7" w:rsidP="00DE47F7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職稱：律師</w:t>
            </w:r>
          </w:p>
        </w:tc>
        <w:tc>
          <w:tcPr>
            <w:tcW w:w="3333" w:type="dxa"/>
            <w:vAlign w:val="center"/>
          </w:tcPr>
          <w:p w14:paraId="7647FFEA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請述明講師及其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稱。</w:t>
            </w:r>
          </w:p>
        </w:tc>
      </w:tr>
      <w:tr w:rsidR="00446B67" w:rsidRPr="00BF0384" w14:paraId="35C3D693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26E694C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14:paraId="40CA70C3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滿意度分析</w:t>
            </w:r>
          </w:p>
        </w:tc>
        <w:tc>
          <w:tcPr>
            <w:tcW w:w="4677" w:type="dxa"/>
            <w:shd w:val="clear" w:color="auto" w:fill="auto"/>
          </w:tcPr>
          <w:p w14:paraId="3154AEC0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請參考「問卷調查分析表格式」。</w:t>
            </w:r>
          </w:p>
        </w:tc>
        <w:tc>
          <w:tcPr>
            <w:tcW w:w="3333" w:type="dxa"/>
            <w:vAlign w:val="center"/>
          </w:tcPr>
          <w:p w14:paraId="18C0C149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需包含統計分析，且需區分男女。</w:t>
            </w:r>
          </w:p>
        </w:tc>
      </w:tr>
      <w:tr w:rsidR="00446B67" w:rsidRPr="00BF0384" w14:paraId="68933DA1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0BA310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54298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54298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14:paraId="1A7B789A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4677" w:type="dxa"/>
            <w:shd w:val="clear" w:color="auto" w:fill="auto"/>
          </w:tcPr>
          <w:p w14:paraId="0DCE72FB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1.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請附簽到表、講義內容。</w:t>
            </w:r>
          </w:p>
          <w:p w14:paraId="441DC227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2.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另視實際情況，請檢附計畫書。</w:t>
            </w:r>
          </w:p>
        </w:tc>
        <w:tc>
          <w:tcPr>
            <w:tcW w:w="3333" w:type="dxa"/>
            <w:vAlign w:val="center"/>
          </w:tcPr>
          <w:p w14:paraId="44AE2A22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均檢附電子檔即可。</w:t>
            </w:r>
          </w:p>
        </w:tc>
      </w:tr>
    </w:tbl>
    <w:p w14:paraId="73B03D2D" w14:textId="77777777" w:rsidR="00446B67" w:rsidRPr="00BF0384" w:rsidRDefault="00446B67" w:rsidP="00446B67">
      <w:pPr>
        <w:spacing w:line="560" w:lineRule="exact"/>
        <w:jc w:val="center"/>
        <w:rPr>
          <w:rFonts w:ascii="Times New Roman" w:eastAsia="標楷體" w:hAnsi="Times New Roman"/>
          <w:b/>
          <w:color w:val="000000" w:themeColor="text1"/>
          <w:sz w:val="40"/>
          <w:szCs w:val="40"/>
        </w:rPr>
        <w:sectPr w:rsidR="00446B67" w:rsidRPr="00BF0384" w:rsidSect="000806A6">
          <w:pgSz w:w="11906" w:h="16838"/>
          <w:pgMar w:top="1440" w:right="1800" w:bottom="1440" w:left="1800" w:header="851" w:footer="567" w:gutter="0"/>
          <w:cols w:space="425"/>
          <w:docGrid w:type="lines" w:linePitch="360"/>
        </w:sectPr>
      </w:pPr>
    </w:p>
    <w:p w14:paraId="4B27D292" w14:textId="77777777" w:rsidR="00446B67" w:rsidRPr="00BF0384" w:rsidRDefault="00446B67" w:rsidP="00446B67">
      <w:pPr>
        <w:widowControl/>
        <w:jc w:val="center"/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</w:rPr>
      </w:pPr>
      <w:r w:rsidRPr="00BF0384">
        <w:rPr>
          <w:rFonts w:ascii="Times New Roman" w:eastAsia="標楷體" w:hAnsi="Times New Roman"/>
          <w:b/>
          <w:noProof/>
          <w:color w:val="000000" w:themeColor="text1"/>
          <w:sz w:val="36"/>
          <w:szCs w:val="32"/>
        </w:rPr>
        <w:lastRenderedPageBreak/>
        <w:t>問卷調查分析表格式</w:t>
      </w:r>
    </w:p>
    <w:p w14:paraId="51C6022E" w14:textId="77777777" w:rsidR="00446B67" w:rsidRPr="00BF0384" w:rsidRDefault="00446B67" w:rsidP="00446B67">
      <w:pPr>
        <w:widowControl/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</w:pPr>
      <w:r w:rsidRPr="00BF0384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一、量化分析</w:t>
      </w:r>
    </w:p>
    <w:tbl>
      <w:tblPr>
        <w:tblW w:w="5764" w:type="pct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6"/>
        <w:gridCol w:w="1015"/>
        <w:gridCol w:w="1188"/>
        <w:gridCol w:w="1278"/>
        <w:gridCol w:w="1139"/>
        <w:gridCol w:w="1139"/>
        <w:gridCol w:w="1257"/>
      </w:tblGrid>
      <w:tr w:rsidR="00286705" w:rsidRPr="00BF0384" w14:paraId="55269EDB" w14:textId="77777777" w:rsidTr="00286705">
        <w:trPr>
          <w:trHeight w:val="345"/>
        </w:trPr>
        <w:tc>
          <w:tcPr>
            <w:tcW w:w="18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8211" w14:textId="77777777" w:rsidR="00286705" w:rsidRPr="00BF0384" w:rsidRDefault="00286705" w:rsidP="00286705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瞭解程度　</w:t>
            </w:r>
          </w:p>
          <w:p w14:paraId="42E09A78" w14:textId="77777777" w:rsidR="00286705" w:rsidRPr="00BF0384" w:rsidRDefault="00286705" w:rsidP="00286705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題次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B4300" w14:textId="7886AED2" w:rsidR="00286705" w:rsidRPr="00BF0384" w:rsidRDefault="00286705" w:rsidP="00286705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</w:t>
            </w:r>
            <w:r w:rsidR="00F41872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滿意</w:t>
            </w:r>
          </w:p>
          <w:p w14:paraId="44F6881B" w14:textId="76D618EF" w:rsidR="00286705" w:rsidRPr="00BF0384" w:rsidRDefault="00286705" w:rsidP="00286705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AADA2" w14:textId="44BE5C4A" w:rsidR="00286705" w:rsidRPr="00BF0384" w:rsidRDefault="00F41872" w:rsidP="00286705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滿意</w:t>
            </w:r>
          </w:p>
          <w:p w14:paraId="121A4CA9" w14:textId="37A416FD" w:rsidR="00286705" w:rsidRPr="00BF0384" w:rsidRDefault="00286705" w:rsidP="00286705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BC0D6" w14:textId="77777777" w:rsidR="00286705" w:rsidRPr="00BF0384" w:rsidRDefault="00286705" w:rsidP="00286705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普通</w:t>
            </w:r>
          </w:p>
          <w:p w14:paraId="73DA5D34" w14:textId="0671B720" w:rsidR="00286705" w:rsidRPr="00BF0384" w:rsidRDefault="00286705" w:rsidP="00286705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7F907" w14:textId="1B3BFE5A" w:rsidR="00286705" w:rsidRPr="00BF0384" w:rsidRDefault="00286705" w:rsidP="00286705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不</w:t>
            </w:r>
            <w:r w:rsidR="00F41872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滿意</w:t>
            </w:r>
          </w:p>
          <w:p w14:paraId="16DC5A0E" w14:textId="28293CBD" w:rsidR="00286705" w:rsidRPr="00BF0384" w:rsidRDefault="00286705" w:rsidP="00286705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3798A" w14:textId="115CE57C" w:rsidR="00286705" w:rsidRPr="00BF0384" w:rsidRDefault="00286705" w:rsidP="00286705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非常不</w:t>
            </w:r>
            <w:r w:rsidR="00F41872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滿意</w:t>
            </w:r>
          </w:p>
          <w:p w14:paraId="68BDD1CD" w14:textId="133A7196" w:rsidR="00286705" w:rsidRPr="00BF0384" w:rsidRDefault="00286705" w:rsidP="00286705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人數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(%)</w:t>
            </w:r>
          </w:p>
        </w:tc>
      </w:tr>
      <w:tr w:rsidR="00446B67" w:rsidRPr="00BF0384" w14:paraId="5A6942E3" w14:textId="77777777" w:rsidTr="00286705">
        <w:trPr>
          <w:trHeight w:val="345"/>
        </w:trPr>
        <w:tc>
          <w:tcPr>
            <w:tcW w:w="13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91B4A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1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0388B6A9" w14:textId="7CD6EC5C" w:rsidR="00446B67" w:rsidRPr="00BF0384" w:rsidRDefault="00286705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AF4CB3">
              <w:rPr>
                <w:rFonts w:ascii="標楷體" w:eastAsia="標楷體" w:hAnsi="標楷體" w:cs="新細明體" w:hint="eastAsia"/>
                <w:color w:val="000000"/>
                <w:kern w:val="0"/>
              </w:rPr>
              <w:t>講師整體表現)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41D87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D9D5C" w14:textId="31C3765B" w:rsidR="00446B67" w:rsidRPr="00BF0384" w:rsidRDefault="00FB045C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57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A99AD" w14:textId="3032F5C0" w:rsidR="00446B67" w:rsidRPr="00BF0384" w:rsidRDefault="008F1B8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37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67816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9AF99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23E9F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595EF3F4" w14:textId="77777777" w:rsidTr="00286705">
        <w:trPr>
          <w:trHeight w:val="345"/>
        </w:trPr>
        <w:tc>
          <w:tcPr>
            <w:tcW w:w="13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7D250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C045A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FE0DE" w14:textId="76931A6B" w:rsidR="00446B67" w:rsidRPr="00BF0384" w:rsidRDefault="00EE1108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29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254E7" w14:textId="0FAF9913" w:rsidR="00446B67" w:rsidRPr="00BF0384" w:rsidRDefault="00EE1108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FFADC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794B3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07B81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511EAC95" w14:textId="77777777" w:rsidTr="00286705">
        <w:trPr>
          <w:trHeight w:val="345"/>
        </w:trPr>
        <w:tc>
          <w:tcPr>
            <w:tcW w:w="13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1CDA8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B5CBA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13C57" w14:textId="4C9CD8E8" w:rsidR="00446B67" w:rsidRPr="00BF0384" w:rsidRDefault="00FB045C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28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4973E" w14:textId="1A8A48E6" w:rsidR="00446B67" w:rsidRPr="00BF0384" w:rsidRDefault="00EE1108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27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B03DC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FDCB2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28755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7E7F5C73" w14:textId="77777777" w:rsidTr="00286705">
        <w:trPr>
          <w:trHeight w:val="345"/>
        </w:trPr>
        <w:tc>
          <w:tcPr>
            <w:tcW w:w="13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FAEC4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2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4E1B1916" w14:textId="77777777" w:rsidR="00286705" w:rsidRDefault="00286705" w:rsidP="00ED04AB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AF4CB3">
              <w:rPr>
                <w:rFonts w:ascii="標楷體" w:eastAsia="標楷體" w:hAnsi="標楷體" w:cs="新細明體" w:hint="eastAsia"/>
                <w:color w:val="000000"/>
                <w:kern w:val="0"/>
              </w:rPr>
              <w:t>工作人員服務、</w:t>
            </w:r>
          </w:p>
          <w:p w14:paraId="5A70587D" w14:textId="3AB508B0" w:rsidR="00446B67" w:rsidRPr="00BF0384" w:rsidRDefault="00286705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F4CB3">
              <w:rPr>
                <w:rFonts w:ascii="標楷體" w:eastAsia="標楷體" w:hAnsi="標楷體" w:cs="新細明體" w:hint="eastAsia"/>
                <w:color w:val="000000"/>
                <w:kern w:val="0"/>
              </w:rPr>
              <w:t>環境設施方面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F9199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15A6C" w14:textId="71CE7655" w:rsidR="008F1B87" w:rsidRPr="00BF0384" w:rsidRDefault="008F1B87" w:rsidP="008F1B8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5</w:t>
            </w:r>
            <w:r w:rsidR="007B36E1">
              <w:rPr>
                <w:rFonts w:ascii="Times New Roman" w:eastAsia="標楷體" w:hAnsi="Times New Roman"/>
                <w:color w:val="000000" w:themeColor="text1"/>
                <w:kern w:val="0"/>
              </w:rPr>
              <w:t>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6B1C9" w14:textId="3261FEDB" w:rsidR="008F1B87" w:rsidRPr="00BF0384" w:rsidRDefault="00EE1108" w:rsidP="008F1B87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3</w:t>
            </w:r>
            <w:r w:rsidR="008F1B87">
              <w:rPr>
                <w:rFonts w:ascii="Times New Roman" w:eastAsia="標楷體" w:hAnsi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F299C" w14:textId="2E0A9DAB" w:rsidR="00446B67" w:rsidRPr="00BF0384" w:rsidRDefault="008F1B87" w:rsidP="008F1B87">
            <w:pPr>
              <w:widowControl/>
              <w:spacing w:line="400" w:lineRule="atLeast"/>
              <w:ind w:right="240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C2B59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7E1D5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6DDF1A1F" w14:textId="77777777" w:rsidTr="00286705">
        <w:trPr>
          <w:trHeight w:val="345"/>
        </w:trPr>
        <w:tc>
          <w:tcPr>
            <w:tcW w:w="13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AB131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CAA18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66050" w14:textId="63C2DE71" w:rsidR="00446B67" w:rsidRPr="00BF0384" w:rsidRDefault="00FB045C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18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9D82C" w14:textId="6512483A" w:rsidR="00446B67" w:rsidRPr="00BF0384" w:rsidRDefault="00EE1108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19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6D42B" w14:textId="1AF7F00C" w:rsidR="00446B67" w:rsidRPr="00BF0384" w:rsidRDefault="002F3A25" w:rsidP="002F3A25">
            <w:pPr>
              <w:widowControl/>
              <w:spacing w:line="400" w:lineRule="atLeast"/>
              <w:ind w:right="240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65AB4" w14:textId="77777777" w:rsidR="00446B67" w:rsidRPr="00BF0384" w:rsidRDefault="00446B67" w:rsidP="002F3A25">
            <w:pPr>
              <w:widowControl/>
              <w:spacing w:line="400" w:lineRule="atLeast"/>
              <w:ind w:right="240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26023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2D11783C" w14:textId="77777777" w:rsidTr="00286705">
        <w:trPr>
          <w:trHeight w:val="345"/>
        </w:trPr>
        <w:tc>
          <w:tcPr>
            <w:tcW w:w="13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9F766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4B954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6AAF9" w14:textId="50E995F0" w:rsidR="00446B67" w:rsidRPr="00BF0384" w:rsidRDefault="00FB045C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39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9FC08" w14:textId="11253D3F" w:rsidR="00446B67" w:rsidRPr="00BF0384" w:rsidRDefault="00EE1108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16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69620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A0D97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803AA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2E4D1DB9" w14:textId="77777777" w:rsidTr="00286705">
        <w:trPr>
          <w:trHeight w:val="345"/>
        </w:trPr>
        <w:tc>
          <w:tcPr>
            <w:tcW w:w="13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E69B8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3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0DF99425" w14:textId="77777777" w:rsidR="00286705" w:rsidRDefault="00446B67" w:rsidP="00ED04AB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="00286705" w:rsidRPr="00AF4CB3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課程學習效果-</w:t>
            </w:r>
          </w:p>
          <w:p w14:paraId="7F6A7C1A" w14:textId="1A88D254" w:rsidR="00446B67" w:rsidRPr="00BF0384" w:rsidRDefault="00286705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AF4CB3">
              <w:rPr>
                <w:rFonts w:ascii="標楷體" w:eastAsia="標楷體" w:hAnsi="標楷體" w:cs="新細明體" w:hint="eastAsia"/>
                <w:color w:val="000000"/>
                <w:kern w:val="0"/>
              </w:rPr>
              <w:t>有助提昇性別平權知識</w:t>
            </w:r>
            <w:r w:rsidR="00446B67"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7DD7E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901EB" w14:textId="3554CF71" w:rsidR="00446B67" w:rsidRPr="00BF0384" w:rsidRDefault="00EE1108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7</w:t>
            </w:r>
            <w:r w:rsidR="008F1B87">
              <w:rPr>
                <w:rFonts w:ascii="Times New Roman" w:eastAsia="標楷體" w:hAnsi="Times New Roman"/>
                <w:color w:val="000000" w:themeColor="text1"/>
                <w:kern w:val="0"/>
              </w:rPr>
              <w:t>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B515D" w14:textId="6B0E0C31" w:rsidR="00446B67" w:rsidRPr="00BF0384" w:rsidRDefault="007F3D9A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18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D3114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0B35F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DF496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31BAF0EC" w14:textId="77777777" w:rsidTr="00286705">
        <w:trPr>
          <w:trHeight w:val="345"/>
        </w:trPr>
        <w:tc>
          <w:tcPr>
            <w:tcW w:w="13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A062A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6FCB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CA639" w14:textId="54D10BBB" w:rsidR="00446B67" w:rsidRPr="00BF0384" w:rsidRDefault="00EE1108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32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1ACA1" w14:textId="7F0CB0CE" w:rsidR="00446B67" w:rsidRPr="00BF0384" w:rsidRDefault="00EE1108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860BF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46B6E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A5850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3A3800EA" w14:textId="77777777" w:rsidTr="00286705">
        <w:trPr>
          <w:trHeight w:val="345"/>
        </w:trPr>
        <w:tc>
          <w:tcPr>
            <w:tcW w:w="13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94AF3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D357A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9640E" w14:textId="349CB15A" w:rsidR="00446B67" w:rsidRPr="00BF0384" w:rsidRDefault="00EE1108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44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06C04" w14:textId="3A3B9820" w:rsidR="00446B67" w:rsidRPr="00BF0384" w:rsidRDefault="007F3D9A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11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CA3C1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2F5D5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DDA9A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2E0B1DF4" w14:textId="77777777" w:rsidTr="00286705">
        <w:trPr>
          <w:trHeight w:val="345"/>
        </w:trPr>
        <w:tc>
          <w:tcPr>
            <w:tcW w:w="13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E8FA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第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4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題</w:t>
            </w:r>
          </w:p>
          <w:p w14:paraId="26017BBD" w14:textId="129067D4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="00286705" w:rsidRPr="00AF4CB3">
              <w:rPr>
                <w:rFonts w:ascii="標楷體" w:eastAsia="標楷體" w:hAnsi="標楷體" w:cs="新細明體" w:hint="eastAsia"/>
                <w:color w:val="000000"/>
                <w:kern w:val="0"/>
              </w:rPr>
              <w:t>團體建立課程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4CEFD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584C5" w14:textId="6B2FD691" w:rsidR="00446B67" w:rsidRPr="00BF0384" w:rsidRDefault="00FB045C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57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350A3" w14:textId="049E85C9" w:rsidR="00446B67" w:rsidRPr="00BF0384" w:rsidRDefault="008F1B8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36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9333E" w14:textId="507F2AFD" w:rsidR="00446B67" w:rsidRPr="00BF0384" w:rsidRDefault="008F1B8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F8394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78522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50C6A69C" w14:textId="77777777" w:rsidTr="00286705">
        <w:trPr>
          <w:trHeight w:val="345"/>
        </w:trPr>
        <w:tc>
          <w:tcPr>
            <w:tcW w:w="13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8E0BF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2E7B0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男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F1EC8" w14:textId="653F2FF1" w:rsidR="00446B67" w:rsidRPr="00BF0384" w:rsidRDefault="008A5A26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2</w:t>
            </w:r>
            <w:r w:rsidR="007F3D9A">
              <w:rPr>
                <w:rFonts w:ascii="Times New Roman" w:eastAsia="標楷體" w:hAnsi="Times New Roman"/>
                <w:color w:val="000000" w:themeColor="text1"/>
                <w:kern w:val="0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CC24F" w14:textId="601ECA06" w:rsidR="00446B67" w:rsidRPr="00BF0384" w:rsidRDefault="001D7BDA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1</w:t>
            </w:r>
            <w:r w:rsidR="007F3D9A">
              <w:rPr>
                <w:rFonts w:ascii="Times New Roman" w:eastAsia="標楷體" w:hAnsi="Times New Roman"/>
                <w:color w:val="000000" w:themeColor="text1"/>
                <w:kern w:val="0"/>
              </w:rPr>
              <w:t>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740DE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05B57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CF883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7FE21B7E" w14:textId="77777777" w:rsidTr="00286705">
        <w:trPr>
          <w:trHeight w:val="345"/>
        </w:trPr>
        <w:tc>
          <w:tcPr>
            <w:tcW w:w="13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29386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26840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640BC" w14:textId="3FD01A1D" w:rsidR="00446B67" w:rsidRPr="00BF0384" w:rsidRDefault="00CA365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3</w:t>
            </w:r>
            <w:r w:rsidR="00FB045C">
              <w:rPr>
                <w:rFonts w:ascii="Times New Roman" w:eastAsia="標楷體" w:hAnsi="Times New Roman"/>
                <w:color w:val="000000" w:themeColor="text1"/>
                <w:kern w:val="0"/>
              </w:rPr>
              <w:t>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E2BD7" w14:textId="60B7CAB4" w:rsidR="00446B67" w:rsidRPr="00BF0384" w:rsidRDefault="001D7BDA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1</w:t>
            </w:r>
            <w:r w:rsidR="007F3D9A">
              <w:rPr>
                <w:rFonts w:ascii="Times New Roman" w:eastAsia="標楷體" w:hAnsi="Times New Roman"/>
                <w:color w:val="000000" w:themeColor="text1"/>
                <w:kern w:val="0"/>
              </w:rPr>
              <w:t>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48BC7" w14:textId="3BE0795C" w:rsidR="00446B67" w:rsidRPr="00BF0384" w:rsidRDefault="008F1B8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345BB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6FB44" w14:textId="77777777" w:rsidR="00446B67" w:rsidRPr="00BF0384" w:rsidRDefault="00446B67" w:rsidP="00ED04AB">
            <w:pPr>
              <w:widowControl/>
              <w:spacing w:line="400" w:lineRule="atLeast"/>
              <w:jc w:val="righ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446B67" w:rsidRPr="00BF0384" w14:paraId="28AC7194" w14:textId="77777777" w:rsidTr="00286705">
        <w:trPr>
          <w:trHeight w:val="345"/>
        </w:trPr>
        <w:tc>
          <w:tcPr>
            <w:tcW w:w="13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E4C2A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實際人數</w:t>
            </w:r>
          </w:p>
        </w:tc>
        <w:tc>
          <w:tcPr>
            <w:tcW w:w="3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CAC57" w14:textId="169E5A29" w:rsidR="00446B67" w:rsidRPr="00BF0384" w:rsidRDefault="00446B67" w:rsidP="00ED04AB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合計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="00A238E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9</w:t>
            </w:r>
            <w:r w:rsidR="00FB045C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4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人；男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</w:t>
            </w:r>
            <w:r w:rsidR="00DF2440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39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="00DF2440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4</w:t>
            </w:r>
            <w:r w:rsidR="006D6F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1%)</w:t>
            </w:r>
            <w:r w:rsidR="00FD396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 xml:space="preserve"> 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女</w:t>
            </w:r>
            <w:r w:rsidR="00DF2440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5</w:t>
            </w:r>
            <w:r w:rsidR="00FD396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5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人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(</w:t>
            </w:r>
            <w:r w:rsidR="00DF2440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59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%)</w:t>
            </w: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。</w:t>
            </w:r>
          </w:p>
        </w:tc>
      </w:tr>
      <w:tr w:rsidR="00446B67" w:rsidRPr="00BF0384" w14:paraId="5B7C63C9" w14:textId="77777777" w:rsidTr="00286705">
        <w:trPr>
          <w:trHeight w:val="345"/>
        </w:trPr>
        <w:tc>
          <w:tcPr>
            <w:tcW w:w="13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8E0ADC" w14:textId="77777777" w:rsidR="00446B67" w:rsidRPr="00BF0384" w:rsidRDefault="00446B67" w:rsidP="00ED04AB">
            <w:pPr>
              <w:widowControl/>
              <w:spacing w:line="400" w:lineRule="atLeas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備註</w:t>
            </w:r>
          </w:p>
        </w:tc>
        <w:tc>
          <w:tcPr>
            <w:tcW w:w="3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3A0CB" w14:textId="77777777" w:rsidR="00446B67" w:rsidRPr="00BF0384" w:rsidRDefault="00446B67" w:rsidP="00ED04AB">
            <w:pPr>
              <w:widowControl/>
              <w:spacing w:line="400" w:lineRule="atLeast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kern w:val="0"/>
              </w:rPr>
              <w:t>如有多題，請自行增列題次。</w:t>
            </w:r>
          </w:p>
        </w:tc>
      </w:tr>
    </w:tbl>
    <w:p w14:paraId="4E0D0044" w14:textId="77777777" w:rsidR="00446B67" w:rsidRPr="00BF0384" w:rsidRDefault="00446B67" w:rsidP="00446B67">
      <w:pPr>
        <w:widowControl/>
        <w:spacing w:line="400" w:lineRule="exact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</w:p>
    <w:p w14:paraId="63D02045" w14:textId="77777777" w:rsidR="00446B67" w:rsidRPr="00BF0384" w:rsidRDefault="00446B67" w:rsidP="00446B67">
      <w:pPr>
        <w:widowControl/>
        <w:spacing w:line="400" w:lineRule="exact"/>
        <w:ind w:left="561" w:hangingChars="200" w:hanging="561"/>
        <w:rPr>
          <w:rFonts w:ascii="Times New Roman" w:eastAsia="標楷體" w:hAnsi="Times New Roman"/>
          <w:noProof/>
          <w:color w:val="000000" w:themeColor="text1"/>
          <w:sz w:val="28"/>
          <w:szCs w:val="28"/>
        </w:rPr>
      </w:pPr>
      <w:r w:rsidRPr="00BF0384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二、質化分析</w:t>
      </w:r>
      <w:r w:rsidRPr="00BF0384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(</w:t>
      </w:r>
      <w:r w:rsidRPr="00BF0384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請以文字陳述活動辦理情況、參與程度、未來課程建議事項等</w:t>
      </w:r>
      <w:r w:rsidRPr="00BF0384">
        <w:rPr>
          <w:rFonts w:ascii="Times New Roman" w:eastAsia="標楷體" w:hAnsi="Times New Roman"/>
          <w:noProof/>
          <w:color w:val="000000" w:themeColor="text1"/>
          <w:sz w:val="28"/>
          <w:szCs w:val="28"/>
        </w:rPr>
        <w:t>)</w:t>
      </w:r>
    </w:p>
    <w:p w14:paraId="53671C35" w14:textId="06254C95" w:rsidR="00DE47F7" w:rsidRDefault="00DE47F7" w:rsidP="00DE47F7">
      <w:pPr>
        <w:spacing w:line="400" w:lineRule="exact"/>
        <w:jc w:val="both"/>
        <w:rPr>
          <w:rFonts w:ascii="標楷體" w:eastAsia="標楷體" w:hAnsi="標楷體"/>
          <w:noProof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t>(一)</w:t>
      </w:r>
      <w:r w:rsidRPr="007A0E25">
        <w:rPr>
          <w:rFonts w:ascii="標楷體" w:eastAsia="標楷體" w:hAnsi="標楷體" w:hint="eastAsia"/>
          <w:noProof/>
          <w:color w:val="000000"/>
          <w:sz w:val="28"/>
          <w:szCs w:val="28"/>
        </w:rPr>
        <w:t>活動辦理情況</w:t>
      </w: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t>：</w:t>
      </w:r>
      <w:r w:rsidRPr="00D22971">
        <w:rPr>
          <w:rFonts w:ascii="標楷體" w:eastAsia="標楷體" w:hAnsi="標楷體" w:hint="eastAsia"/>
          <w:noProof/>
          <w:color w:val="000000"/>
          <w:sz w:val="28"/>
          <w:szCs w:val="28"/>
        </w:rPr>
        <w:t>輔以性別平等教材及宣導影片，透過互動學習以</w:t>
      </w:r>
      <w:r w:rsidRPr="00D22971">
        <w:rPr>
          <w:rFonts w:ascii="標楷體" w:eastAsia="標楷體" w:hAnsi="標楷體"/>
          <w:noProof/>
          <w:color w:val="000000"/>
          <w:sz w:val="28"/>
          <w:szCs w:val="28"/>
        </w:rPr>
        <w:t>預防或消除傳統文化對不同性別、性傾向或性別認同者之</w:t>
      </w:r>
      <w:r w:rsidRPr="00D22971">
        <w:rPr>
          <w:rFonts w:ascii="標楷體" w:eastAsia="標楷體" w:hAnsi="標楷體" w:hint="eastAsia"/>
          <w:noProof/>
          <w:color w:val="000000"/>
          <w:sz w:val="28"/>
          <w:szCs w:val="28"/>
        </w:rPr>
        <w:t>參與工會會務性別制約框架</w:t>
      </w:r>
      <w:r w:rsidRPr="00D22971">
        <w:rPr>
          <w:rFonts w:ascii="標楷體" w:eastAsia="標楷體" w:hAnsi="標楷體"/>
          <w:noProof/>
          <w:color w:val="000000"/>
          <w:sz w:val="28"/>
          <w:szCs w:val="28"/>
        </w:rPr>
        <w:t>或僵化期待</w:t>
      </w:r>
      <w:r w:rsidRPr="00D22971">
        <w:rPr>
          <w:rFonts w:ascii="標楷體" w:eastAsia="標楷體" w:hAnsi="標楷體" w:hint="eastAsia"/>
          <w:noProof/>
          <w:color w:val="000000"/>
          <w:sz w:val="28"/>
          <w:szCs w:val="28"/>
        </w:rPr>
        <w:t>。另培訓參課學員為性別平等種籽教師，於種籽教師出席工會活動 (大會、理事會等) 及所屬工會教育訓練時，宣導工會幹部任一性別比例達1/3，致力縮短桃園市女性及男性工會幹部性別落差。</w:t>
      </w:r>
    </w:p>
    <w:p w14:paraId="35B207CE" w14:textId="48031EE9" w:rsidR="00DE47F7" w:rsidRDefault="00DE47F7" w:rsidP="00DE47F7">
      <w:pPr>
        <w:spacing w:line="400" w:lineRule="exact"/>
        <w:jc w:val="both"/>
        <w:rPr>
          <w:rFonts w:ascii="標楷體" w:eastAsia="標楷體" w:hAnsi="標楷體"/>
          <w:noProof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t>(二)</w:t>
      </w:r>
      <w:r w:rsidRPr="007A0E25">
        <w:rPr>
          <w:rFonts w:ascii="標楷體" w:eastAsia="標楷體" w:hAnsi="標楷體" w:hint="eastAsia"/>
          <w:noProof/>
          <w:color w:val="000000"/>
          <w:sz w:val="28"/>
          <w:szCs w:val="28"/>
        </w:rPr>
        <w:t>參與程度</w:t>
      </w: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t>：報名學員</w:t>
      </w:r>
      <w:r w:rsidR="006E06B7">
        <w:rPr>
          <w:rFonts w:ascii="標楷體" w:eastAsia="標楷體" w:hAnsi="標楷體" w:hint="eastAsia"/>
          <w:noProof/>
          <w:color w:val="000000"/>
          <w:sz w:val="28"/>
          <w:szCs w:val="28"/>
        </w:rPr>
        <w:t>120</w:t>
      </w: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t>人，實際出席</w:t>
      </w:r>
      <w:r w:rsidR="006E06B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81AA7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Pr="00011B4B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011B4B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參與率為</w:t>
      </w:r>
      <w:r w:rsidR="00C81AA7">
        <w:rPr>
          <w:rFonts w:ascii="標楷體" w:eastAsia="標楷體" w:hAnsi="標楷體" w:hint="eastAsia"/>
          <w:color w:val="000000" w:themeColor="text1"/>
          <w:sz w:val="28"/>
          <w:szCs w:val="28"/>
        </w:rPr>
        <w:t>97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%，</w:t>
      </w:r>
      <w:r w:rsidRPr="00011B4B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011B4B">
        <w:rPr>
          <w:rFonts w:ascii="標楷體" w:eastAsia="標楷體" w:hAnsi="標楷體"/>
          <w:color w:val="000000" w:themeColor="text1"/>
          <w:sz w:val="28"/>
          <w:szCs w:val="28"/>
        </w:rPr>
        <w:t>別</w:t>
      </w:r>
      <w:r w:rsidRPr="00B25DD8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Pr="00B25DD8">
        <w:rPr>
          <w:rFonts w:ascii="標楷體" w:eastAsia="標楷體" w:hAnsi="標楷體" w:hint="eastAsia"/>
          <w:color w:val="000000" w:themeColor="text1"/>
          <w:sz w:val="28"/>
          <w:szCs w:val="28"/>
        </w:rPr>
        <w:t>男</w:t>
      </w:r>
      <w:r w:rsidRPr="00B25DD8">
        <w:rPr>
          <w:rFonts w:ascii="標楷體" w:eastAsia="標楷體" w:hAnsi="標楷體"/>
          <w:color w:val="000000" w:themeColor="text1"/>
          <w:sz w:val="28"/>
          <w:szCs w:val="28"/>
        </w:rPr>
        <w:t>性</w:t>
      </w:r>
      <w:r w:rsidR="00C81AA7">
        <w:rPr>
          <w:rFonts w:ascii="標楷體" w:eastAsia="標楷體" w:hAnsi="標楷體" w:hint="eastAsia"/>
          <w:color w:val="000000" w:themeColor="text1"/>
          <w:sz w:val="28"/>
          <w:szCs w:val="28"/>
        </w:rPr>
        <w:t>45</w:t>
      </w:r>
      <w:r w:rsidRPr="00B25DD8">
        <w:rPr>
          <w:rFonts w:ascii="標楷體" w:eastAsia="標楷體" w:hAnsi="標楷體"/>
          <w:color w:val="000000" w:themeColor="text1"/>
          <w:sz w:val="28"/>
          <w:szCs w:val="28"/>
        </w:rPr>
        <w:t>人</w:t>
      </w:r>
      <w:r w:rsidR="00254CDA">
        <w:rPr>
          <w:rFonts w:ascii="標楷體" w:eastAsia="標楷體" w:hAnsi="標楷體" w:hint="eastAsia"/>
          <w:color w:val="000000" w:themeColor="text1"/>
          <w:sz w:val="28"/>
          <w:szCs w:val="28"/>
        </w:rPr>
        <w:t>(參與率39%)</w:t>
      </w:r>
      <w:r w:rsidRPr="00B25DD8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B25DD8">
        <w:rPr>
          <w:rFonts w:ascii="標楷體" w:eastAsia="標楷體" w:hAnsi="標楷體"/>
          <w:color w:val="000000" w:themeColor="text1"/>
          <w:sz w:val="28"/>
          <w:szCs w:val="28"/>
        </w:rPr>
        <w:t>女性</w:t>
      </w:r>
      <w:r w:rsidR="00C81AA7">
        <w:rPr>
          <w:rFonts w:ascii="標楷體" w:eastAsia="標楷體" w:hAnsi="標楷體" w:hint="eastAsia"/>
          <w:color w:val="000000" w:themeColor="text1"/>
          <w:sz w:val="28"/>
          <w:szCs w:val="28"/>
        </w:rPr>
        <w:t>71</w:t>
      </w:r>
      <w:r w:rsidRPr="00B25DD8">
        <w:rPr>
          <w:rFonts w:ascii="標楷體" w:eastAsia="標楷體" w:hAnsi="標楷體"/>
          <w:color w:val="000000" w:themeColor="text1"/>
          <w:sz w:val="28"/>
          <w:szCs w:val="28"/>
        </w:rPr>
        <w:t>人</w:t>
      </w:r>
      <w:r w:rsidR="00254CDA">
        <w:rPr>
          <w:rFonts w:ascii="標楷體" w:eastAsia="標楷體" w:hAnsi="標楷體" w:hint="eastAsia"/>
          <w:color w:val="000000" w:themeColor="text1"/>
          <w:sz w:val="28"/>
          <w:szCs w:val="28"/>
        </w:rPr>
        <w:t>(參與率61%)</w:t>
      </w:r>
      <w:r w:rsidRPr="00B25DD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9E2288E" w14:textId="6B15D819" w:rsidR="00DE47F7" w:rsidRDefault="00DE47F7" w:rsidP="00DE47F7">
      <w:pPr>
        <w:spacing w:line="400" w:lineRule="exact"/>
        <w:jc w:val="both"/>
        <w:rPr>
          <w:rFonts w:ascii="標楷體" w:eastAsia="標楷體" w:hAnsi="標楷體"/>
          <w:noProof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t>(三)</w:t>
      </w:r>
      <w:r w:rsidRPr="007A0E25">
        <w:rPr>
          <w:rFonts w:ascii="標楷體" w:eastAsia="標楷體" w:hAnsi="標楷體" w:hint="eastAsia"/>
          <w:noProof/>
          <w:color w:val="000000"/>
          <w:sz w:val="28"/>
          <w:szCs w:val="28"/>
        </w:rPr>
        <w:t>課程建議事項</w:t>
      </w: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t>：</w:t>
      </w:r>
      <w:r w:rsidR="00FD3967">
        <w:rPr>
          <w:rFonts w:ascii="標楷體" w:eastAsia="標楷體" w:hAnsi="標楷體" w:hint="eastAsia"/>
          <w:noProof/>
          <w:color w:val="000000"/>
          <w:sz w:val="28"/>
          <w:szCs w:val="28"/>
        </w:rPr>
        <w:t>時間配當優化、</w:t>
      </w: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t>增加案例分享及多元互動課程等</w:t>
      </w:r>
      <w:r w:rsidRPr="00B25DD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72E2AA" w14:textId="77777777" w:rsidR="00446B67" w:rsidRPr="00DE47F7" w:rsidRDefault="00446B67" w:rsidP="00446B67"/>
    <w:sectPr w:rsidR="00446B67" w:rsidRPr="00DE47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E88DC" w14:textId="77777777" w:rsidR="00611131" w:rsidRDefault="00611131" w:rsidP="00611131">
      <w:r>
        <w:separator/>
      </w:r>
    </w:p>
  </w:endnote>
  <w:endnote w:type="continuationSeparator" w:id="0">
    <w:p w14:paraId="2289F991" w14:textId="77777777" w:rsidR="00611131" w:rsidRDefault="00611131" w:rsidP="0061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C19FB" w14:textId="77777777" w:rsidR="00611131" w:rsidRDefault="00611131" w:rsidP="00611131">
      <w:r>
        <w:separator/>
      </w:r>
    </w:p>
  </w:footnote>
  <w:footnote w:type="continuationSeparator" w:id="0">
    <w:p w14:paraId="59D67BF1" w14:textId="77777777" w:rsidR="00611131" w:rsidRDefault="00611131" w:rsidP="0061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836EE"/>
    <w:multiLevelType w:val="hybridMultilevel"/>
    <w:tmpl w:val="394C7D3A"/>
    <w:lvl w:ilvl="0" w:tplc="6B9EEEB4">
      <w:start w:val="1"/>
      <w:numFmt w:val="taiwaneseCountingThousand"/>
      <w:lvlText w:val="%1、"/>
      <w:lvlJc w:val="left"/>
      <w:pPr>
        <w:ind w:left="8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67"/>
    <w:rsid w:val="001D7BDA"/>
    <w:rsid w:val="00254CDA"/>
    <w:rsid w:val="00286705"/>
    <w:rsid w:val="002C05E5"/>
    <w:rsid w:val="002F3A25"/>
    <w:rsid w:val="00446B67"/>
    <w:rsid w:val="00611131"/>
    <w:rsid w:val="006D6FE7"/>
    <w:rsid w:val="006E06B7"/>
    <w:rsid w:val="007B36E1"/>
    <w:rsid w:val="007F3D9A"/>
    <w:rsid w:val="008A5A26"/>
    <w:rsid w:val="008F1B87"/>
    <w:rsid w:val="00A238EC"/>
    <w:rsid w:val="00C81AA7"/>
    <w:rsid w:val="00CA3657"/>
    <w:rsid w:val="00DE47F7"/>
    <w:rsid w:val="00DF2440"/>
    <w:rsid w:val="00EE1108"/>
    <w:rsid w:val="00F41872"/>
    <w:rsid w:val="00F86302"/>
    <w:rsid w:val="00FB045C"/>
    <w:rsid w:val="00F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07A83B"/>
  <w15:chartTrackingRefBased/>
  <w15:docId w15:val="{5F20399D-F56B-473C-BC09-5970A75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B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113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1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1131"/>
    <w:rPr>
      <w:rFonts w:ascii="Calibri" w:eastAsia="新細明體" w:hAnsi="Calibri" w:cs="Times New Roman"/>
      <w:sz w:val="20"/>
      <w:szCs w:val="20"/>
    </w:rPr>
  </w:style>
  <w:style w:type="character" w:customStyle="1" w:styleId="a7">
    <w:name w:val="清單段落 字元"/>
    <w:link w:val="a8"/>
    <w:uiPriority w:val="34"/>
    <w:locked/>
    <w:rsid w:val="00DE47F7"/>
  </w:style>
  <w:style w:type="paragraph" w:styleId="a8">
    <w:name w:val="List Paragraph"/>
    <w:basedOn w:val="a"/>
    <w:link w:val="a7"/>
    <w:uiPriority w:val="34"/>
    <w:qFormat/>
    <w:rsid w:val="00DE47F7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張雯婷</dc:creator>
  <cp:keywords/>
  <dc:description/>
  <cp:lastModifiedBy>嘉宏 簡</cp:lastModifiedBy>
  <cp:revision>10</cp:revision>
  <cp:lastPrinted>2021-01-15T06:48:00Z</cp:lastPrinted>
  <dcterms:created xsi:type="dcterms:W3CDTF">2020-09-22T08:58:00Z</dcterms:created>
  <dcterms:modified xsi:type="dcterms:W3CDTF">2021-01-15T06:59:00Z</dcterms:modified>
</cp:coreProperties>
</file>