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F1" w:rsidRPr="009A24F1" w:rsidRDefault="009A24F1" w:rsidP="009A24F1">
      <w:pPr>
        <w:spacing w:afterLines="50" w:after="180" w:line="500" w:lineRule="exact"/>
        <w:ind w:firstLineChars="52" w:firstLine="146"/>
        <w:rPr>
          <w:rFonts w:ascii="標楷體" w:eastAsia="標楷體"/>
          <w:szCs w:val="28"/>
        </w:rPr>
      </w:pPr>
      <w:r w:rsidRPr="009A24F1">
        <w:rPr>
          <w:rFonts w:ascii="標楷體" w:eastAsia="標楷體" w:hint="eastAsia"/>
          <w:szCs w:val="28"/>
        </w:rPr>
        <w:t>附表：違反有線廣播電視法案件裁罰基準表</w:t>
      </w:r>
    </w:p>
    <w:tbl>
      <w:tblPr>
        <w:tblW w:w="904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627"/>
        <w:gridCol w:w="1485"/>
        <w:gridCol w:w="2967"/>
        <w:gridCol w:w="2310"/>
      </w:tblGrid>
      <w:tr w:rsidR="009A24F1" w:rsidRPr="009A24F1" w:rsidTr="009A24F1">
        <w:trPr>
          <w:trHeight w:val="339"/>
        </w:trPr>
        <w:tc>
          <w:tcPr>
            <w:tcW w:w="652" w:type="dxa"/>
          </w:tcPr>
          <w:p w:rsidR="009A24F1" w:rsidRPr="009A24F1" w:rsidRDefault="009A24F1" w:rsidP="00F16687">
            <w:pPr>
              <w:spacing w:line="300" w:lineRule="exact"/>
              <w:ind w:leftChars="-65" w:hangingChars="76" w:hanging="182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項次</w:t>
            </w:r>
          </w:p>
        </w:tc>
        <w:tc>
          <w:tcPr>
            <w:tcW w:w="1627" w:type="dxa"/>
          </w:tcPr>
          <w:p w:rsidR="009A24F1" w:rsidRPr="009A24F1" w:rsidRDefault="009A24F1" w:rsidP="00F16687">
            <w:pPr>
              <w:spacing w:line="300" w:lineRule="exact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違反規定</w:t>
            </w:r>
          </w:p>
        </w:tc>
        <w:tc>
          <w:tcPr>
            <w:tcW w:w="1485" w:type="dxa"/>
          </w:tcPr>
          <w:p w:rsidR="009A24F1" w:rsidRPr="009A24F1" w:rsidRDefault="009A24F1" w:rsidP="00F16687">
            <w:pPr>
              <w:spacing w:line="300" w:lineRule="exact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裁罰依據</w:t>
            </w:r>
          </w:p>
        </w:tc>
        <w:tc>
          <w:tcPr>
            <w:tcW w:w="2967" w:type="dxa"/>
          </w:tcPr>
          <w:p w:rsidR="009A24F1" w:rsidRPr="009A24F1" w:rsidRDefault="009A24F1" w:rsidP="00F16687">
            <w:pPr>
              <w:spacing w:line="300" w:lineRule="exact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法定罰鍰額度</w:t>
            </w:r>
          </w:p>
        </w:tc>
        <w:tc>
          <w:tcPr>
            <w:tcW w:w="2310" w:type="dxa"/>
          </w:tcPr>
          <w:p w:rsidR="009A24F1" w:rsidRPr="009A24F1" w:rsidRDefault="009A24F1" w:rsidP="00F16687">
            <w:pPr>
              <w:spacing w:line="300" w:lineRule="exact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裁罰基準</w:t>
            </w:r>
          </w:p>
        </w:tc>
      </w:tr>
      <w:tr w:rsidR="009A24F1" w:rsidRPr="009A24F1" w:rsidTr="00D93F5D">
        <w:trPr>
          <w:trHeight w:val="1806"/>
        </w:trPr>
        <w:tc>
          <w:tcPr>
            <w:tcW w:w="652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第二十八條第一項</w:t>
            </w:r>
          </w:p>
          <w:p w:rsidR="009A24F1" w:rsidRPr="009A24F1" w:rsidRDefault="009A24F1" w:rsidP="009803AC">
            <w:pPr>
              <w:spacing w:line="300" w:lineRule="exact"/>
              <w:ind w:rightChars="-45" w:right="-126"/>
              <w:jc w:val="both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485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/>
                <w:sz w:val="24"/>
                <w:szCs w:val="24"/>
              </w:rPr>
              <w:t>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六</w:t>
            </w:r>
            <w:r w:rsidRPr="009A24F1">
              <w:rPr>
                <w:rFonts w:ascii="標楷體" w:eastAsia="標楷體"/>
                <w:sz w:val="24"/>
                <w:szCs w:val="24"/>
              </w:rPr>
              <w:t>十九條第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三</w:t>
            </w:r>
            <w:r w:rsidRPr="009A24F1">
              <w:rPr>
                <w:rFonts w:ascii="標楷體" w:eastAsia="標楷體"/>
                <w:sz w:val="24"/>
                <w:szCs w:val="24"/>
              </w:rPr>
              <w:t>款</w:t>
            </w:r>
          </w:p>
        </w:tc>
        <w:tc>
          <w:tcPr>
            <w:tcW w:w="2967" w:type="dxa"/>
          </w:tcPr>
          <w:p w:rsidR="009A24F1" w:rsidRPr="009A24F1" w:rsidRDefault="009A24F1" w:rsidP="009803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處新臺幣六萬元以上一百二十萬元以下罰鍰，並令其限期改正；屆期不改正者，得按次處罰。</w:t>
            </w:r>
          </w:p>
        </w:tc>
        <w:tc>
          <w:tcPr>
            <w:tcW w:w="2310" w:type="dxa"/>
          </w:tcPr>
          <w:p w:rsidR="009A24F1" w:rsidRPr="009A24F1" w:rsidRDefault="009A24F1" w:rsidP="009803AC">
            <w:pPr>
              <w:spacing w:line="300" w:lineRule="exact"/>
              <w:ind w:leftChars="-28" w:left="412" w:rightChars="-26" w:right="-73" w:hangingChars="204" w:hanging="490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一、每次處新臺幣六萬元，並令限期改正。</w:t>
            </w:r>
          </w:p>
          <w:p w:rsidR="009A24F1" w:rsidRPr="009A24F1" w:rsidRDefault="009A24F1" w:rsidP="009A24F1">
            <w:pPr>
              <w:spacing w:line="300" w:lineRule="exact"/>
              <w:ind w:leftChars="-17" w:left="343" w:rightChars="-26" w:right="-73" w:hangingChars="163" w:hanging="391"/>
              <w:jc w:val="both"/>
              <w:rPr>
                <w:rFonts w:ascii="標楷體" w:eastAsia="標楷體" w:hint="eastAsia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二、屆期不改正者，得按次處罰。</w:t>
            </w:r>
            <w:bookmarkStart w:id="0" w:name="_GoBack"/>
            <w:bookmarkEnd w:id="0"/>
          </w:p>
        </w:tc>
      </w:tr>
      <w:tr w:rsidR="009A24F1" w:rsidRPr="009A24F1" w:rsidTr="00D93F5D">
        <w:trPr>
          <w:trHeight w:val="1687"/>
        </w:trPr>
        <w:tc>
          <w:tcPr>
            <w:tcW w:w="652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2</w:t>
            </w:r>
          </w:p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627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第三十五條</w:t>
            </w:r>
          </w:p>
        </w:tc>
        <w:tc>
          <w:tcPr>
            <w:tcW w:w="1485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/>
                <w:sz w:val="24"/>
                <w:szCs w:val="24"/>
              </w:rPr>
              <w:t>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六十六</w:t>
            </w:r>
            <w:r w:rsidRPr="009A24F1">
              <w:rPr>
                <w:rFonts w:ascii="標楷體" w:eastAsia="標楷體"/>
                <w:sz w:val="24"/>
                <w:szCs w:val="24"/>
              </w:rPr>
              <w:t>條第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五</w:t>
            </w:r>
            <w:r w:rsidRPr="009A24F1">
              <w:rPr>
                <w:rFonts w:ascii="標楷體" w:eastAsia="標楷體"/>
                <w:sz w:val="24"/>
                <w:szCs w:val="24"/>
              </w:rPr>
              <w:t>款</w:t>
            </w:r>
          </w:p>
        </w:tc>
        <w:tc>
          <w:tcPr>
            <w:tcW w:w="2967" w:type="dxa"/>
          </w:tcPr>
          <w:p w:rsidR="009A24F1" w:rsidRPr="009A24F1" w:rsidRDefault="009A24F1" w:rsidP="009803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處新臺幣十萬元以上二百萬元以下罰鍰，並令其限期改正；屆期不改正者，得按次處罰。</w:t>
            </w:r>
          </w:p>
        </w:tc>
        <w:tc>
          <w:tcPr>
            <w:tcW w:w="2310" w:type="dxa"/>
          </w:tcPr>
          <w:p w:rsidR="009A24F1" w:rsidRPr="009A24F1" w:rsidRDefault="009A24F1" w:rsidP="009803AC">
            <w:pPr>
              <w:spacing w:line="300" w:lineRule="exact"/>
              <w:ind w:leftChars="-28" w:left="412" w:rightChars="-26" w:right="-73" w:hangingChars="204" w:hanging="490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一、每次處新臺幣十萬元，並令限期改正。</w:t>
            </w:r>
          </w:p>
          <w:p w:rsidR="009A24F1" w:rsidRPr="009A24F1" w:rsidRDefault="009A24F1" w:rsidP="009A24F1">
            <w:pPr>
              <w:spacing w:line="300" w:lineRule="exact"/>
              <w:ind w:leftChars="-28" w:left="412" w:rightChars="-26" w:right="-73" w:hangingChars="204" w:hanging="490"/>
              <w:jc w:val="both"/>
              <w:rPr>
                <w:rFonts w:ascii="標楷體" w:eastAsia="標楷體" w:hint="eastAsia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二、屆期不改正者，得按次處罰。</w:t>
            </w:r>
          </w:p>
        </w:tc>
      </w:tr>
      <w:tr w:rsidR="009A24F1" w:rsidRPr="009A24F1" w:rsidTr="00D93F5D">
        <w:trPr>
          <w:trHeight w:hRule="exact" w:val="1531"/>
        </w:trPr>
        <w:tc>
          <w:tcPr>
            <w:tcW w:w="652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/>
                <w:sz w:val="24"/>
                <w:szCs w:val="24"/>
              </w:rPr>
              <w:t>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三十九</w:t>
            </w:r>
            <w:r w:rsidRPr="009A24F1">
              <w:rPr>
                <w:rFonts w:ascii="標楷體" w:eastAsia="標楷體"/>
                <w:sz w:val="24"/>
                <w:szCs w:val="24"/>
              </w:rPr>
              <w:t>條第一項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或第二項</w:t>
            </w:r>
          </w:p>
        </w:tc>
        <w:tc>
          <w:tcPr>
            <w:tcW w:w="1485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/>
                <w:sz w:val="24"/>
                <w:szCs w:val="24"/>
              </w:rPr>
              <w:t>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六十二</w:t>
            </w:r>
            <w:r w:rsidRPr="009A24F1">
              <w:rPr>
                <w:rFonts w:ascii="標楷體" w:eastAsia="標楷體"/>
                <w:sz w:val="24"/>
                <w:szCs w:val="24"/>
              </w:rPr>
              <w:t>條</w:t>
            </w:r>
          </w:p>
        </w:tc>
        <w:tc>
          <w:tcPr>
            <w:tcW w:w="2967" w:type="dxa"/>
          </w:tcPr>
          <w:p w:rsidR="009A24F1" w:rsidRPr="009A24F1" w:rsidRDefault="009A24F1" w:rsidP="009803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予以警告或處新臺幣二十萬元以上四百萬元以下罰鍰。</w:t>
            </w:r>
          </w:p>
        </w:tc>
        <w:tc>
          <w:tcPr>
            <w:tcW w:w="2310" w:type="dxa"/>
          </w:tcPr>
          <w:p w:rsidR="009A24F1" w:rsidRPr="009A24F1" w:rsidRDefault="009A24F1" w:rsidP="009803AC">
            <w:pPr>
              <w:spacing w:line="300" w:lineRule="exact"/>
              <w:ind w:leftChars="-28" w:left="412" w:rightChars="-26" w:right="-73" w:hangingChars="204" w:hanging="490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一、第一次予以警告。</w:t>
            </w:r>
          </w:p>
          <w:p w:rsidR="009A24F1" w:rsidRPr="009A24F1" w:rsidRDefault="009A24F1" w:rsidP="009A24F1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 w:hint="eastAsia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二、第二次以上，每次處新臺幣二十萬元。</w:t>
            </w:r>
          </w:p>
        </w:tc>
      </w:tr>
      <w:tr w:rsidR="009A24F1" w:rsidRPr="009A24F1" w:rsidTr="00D93F5D">
        <w:trPr>
          <w:trHeight w:val="1784"/>
        </w:trPr>
        <w:tc>
          <w:tcPr>
            <w:tcW w:w="652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第四十條第一項或第二項</w:t>
            </w:r>
          </w:p>
        </w:tc>
        <w:tc>
          <w:tcPr>
            <w:tcW w:w="1485" w:type="dxa"/>
          </w:tcPr>
          <w:p w:rsidR="009A24F1" w:rsidRPr="009A24F1" w:rsidRDefault="009A24F1" w:rsidP="00303602">
            <w:pPr>
              <w:spacing w:line="300" w:lineRule="exact"/>
              <w:ind w:leftChars="-1" w:left="-3" w:rightChars="-12" w:right="-34" w:firstLine="2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/>
                <w:sz w:val="24"/>
                <w:szCs w:val="24"/>
              </w:rPr>
              <w:t>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六十六</w:t>
            </w:r>
            <w:r w:rsidRPr="009A24F1">
              <w:rPr>
                <w:rFonts w:ascii="標楷體" w:eastAsia="標楷體"/>
                <w:sz w:val="24"/>
                <w:szCs w:val="24"/>
              </w:rPr>
              <w:t>條第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六</w:t>
            </w:r>
            <w:r w:rsidRPr="009A24F1">
              <w:rPr>
                <w:rFonts w:ascii="標楷體" w:eastAsia="標楷體"/>
                <w:sz w:val="24"/>
                <w:szCs w:val="24"/>
              </w:rPr>
              <w:t>款</w:t>
            </w:r>
          </w:p>
        </w:tc>
        <w:tc>
          <w:tcPr>
            <w:tcW w:w="2967" w:type="dxa"/>
          </w:tcPr>
          <w:p w:rsidR="009A24F1" w:rsidRPr="009A24F1" w:rsidRDefault="009A24F1" w:rsidP="009803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處新臺幣十萬元以上二百萬元以下罰鍰，並令其限期改正；屆期不改正者，得按次處罰。</w:t>
            </w:r>
          </w:p>
        </w:tc>
        <w:tc>
          <w:tcPr>
            <w:tcW w:w="2310" w:type="dxa"/>
          </w:tcPr>
          <w:p w:rsidR="009A24F1" w:rsidRPr="009A24F1" w:rsidRDefault="009A24F1" w:rsidP="009803AC">
            <w:pPr>
              <w:spacing w:line="300" w:lineRule="exact"/>
              <w:ind w:leftChars="-28" w:left="412" w:rightChars="-26" w:right="-73" w:hangingChars="204" w:hanging="490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一、每次處新臺幣十萬元，並令限期改正。</w:t>
            </w:r>
          </w:p>
          <w:p w:rsidR="009A24F1" w:rsidRPr="009A24F1" w:rsidRDefault="009A24F1" w:rsidP="009803AC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二、屆期不改正者，得按次處罰。</w:t>
            </w:r>
          </w:p>
        </w:tc>
      </w:tr>
      <w:tr w:rsidR="009A24F1" w:rsidRPr="009A24F1" w:rsidTr="009A24F1">
        <w:trPr>
          <w:trHeight w:val="2281"/>
        </w:trPr>
        <w:tc>
          <w:tcPr>
            <w:tcW w:w="652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第四十三條</w:t>
            </w:r>
          </w:p>
        </w:tc>
        <w:tc>
          <w:tcPr>
            <w:tcW w:w="1485" w:type="dxa"/>
          </w:tcPr>
          <w:p w:rsidR="009A24F1" w:rsidRPr="009A24F1" w:rsidRDefault="009A24F1" w:rsidP="00303602">
            <w:pPr>
              <w:spacing w:line="300" w:lineRule="exact"/>
              <w:ind w:leftChars="-1" w:left="-3" w:rightChars="-12" w:right="-34" w:firstLine="2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/>
                <w:sz w:val="24"/>
                <w:szCs w:val="24"/>
              </w:rPr>
              <w:t>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七十</w:t>
            </w:r>
            <w:r w:rsidRPr="009A24F1">
              <w:rPr>
                <w:rFonts w:ascii="標楷體" w:eastAsia="標楷體"/>
                <w:sz w:val="24"/>
                <w:szCs w:val="24"/>
              </w:rPr>
              <w:t>條第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二</w:t>
            </w:r>
            <w:r w:rsidRPr="009A24F1">
              <w:rPr>
                <w:rFonts w:ascii="標楷體" w:eastAsia="標楷體"/>
                <w:sz w:val="24"/>
                <w:szCs w:val="24"/>
              </w:rPr>
              <w:t>款</w:t>
            </w:r>
          </w:p>
        </w:tc>
        <w:tc>
          <w:tcPr>
            <w:tcW w:w="2967" w:type="dxa"/>
          </w:tcPr>
          <w:p w:rsidR="009A24F1" w:rsidRPr="009A24F1" w:rsidRDefault="009A24F1" w:rsidP="009803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予以警告或處新臺幣六萬元以上一百二十萬元以下罰鍰，並令其限期改正；屆期不改正者，得按次處罰。</w:t>
            </w:r>
          </w:p>
        </w:tc>
        <w:tc>
          <w:tcPr>
            <w:tcW w:w="2310" w:type="dxa"/>
          </w:tcPr>
          <w:p w:rsidR="009A24F1" w:rsidRPr="009A24F1" w:rsidRDefault="009A24F1" w:rsidP="009803AC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一、第一次予以警告，</w:t>
            </w:r>
            <w:r w:rsidRPr="009A24F1">
              <w:rPr>
                <w:rFonts w:ascii="標楷體" w:eastAsia="標楷體"/>
                <w:sz w:val="24"/>
                <w:szCs w:val="24"/>
              </w:rPr>
              <w:t>並令限期改正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。</w:t>
            </w:r>
          </w:p>
          <w:p w:rsidR="009A24F1" w:rsidRPr="009A24F1" w:rsidRDefault="009A24F1" w:rsidP="009803AC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二、第二次以上，每次處新臺幣六萬元，並令限期改正。</w:t>
            </w:r>
          </w:p>
          <w:p w:rsidR="009A24F1" w:rsidRPr="009A24F1" w:rsidRDefault="009A24F1" w:rsidP="009803AC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三、屆期不改正者，得按次處罰。</w:t>
            </w:r>
          </w:p>
        </w:tc>
      </w:tr>
      <w:tr w:rsidR="009A24F1" w:rsidRPr="009A24F1" w:rsidTr="009A24F1">
        <w:trPr>
          <w:trHeight w:val="2490"/>
        </w:trPr>
        <w:tc>
          <w:tcPr>
            <w:tcW w:w="652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第五十條第一項、第二項、第五項或第八項</w:t>
            </w:r>
          </w:p>
        </w:tc>
        <w:tc>
          <w:tcPr>
            <w:tcW w:w="1485" w:type="dxa"/>
          </w:tcPr>
          <w:p w:rsidR="009A24F1" w:rsidRPr="009A24F1" w:rsidRDefault="009A24F1" w:rsidP="00303602">
            <w:pPr>
              <w:spacing w:line="300" w:lineRule="exact"/>
              <w:ind w:leftChars="-1" w:left="-3" w:rightChars="-12" w:right="-34" w:firstLine="2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/>
                <w:sz w:val="24"/>
                <w:szCs w:val="24"/>
              </w:rPr>
              <w:t>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六</w:t>
            </w:r>
            <w:r w:rsidRPr="009A24F1">
              <w:rPr>
                <w:rFonts w:ascii="標楷體" w:eastAsia="標楷體"/>
                <w:sz w:val="24"/>
                <w:szCs w:val="24"/>
              </w:rPr>
              <w:t>十九條第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七</w:t>
            </w:r>
            <w:r w:rsidRPr="009A24F1">
              <w:rPr>
                <w:rFonts w:ascii="標楷體" w:eastAsia="標楷體"/>
                <w:sz w:val="24"/>
                <w:szCs w:val="24"/>
              </w:rPr>
              <w:t>款</w:t>
            </w:r>
          </w:p>
        </w:tc>
        <w:tc>
          <w:tcPr>
            <w:tcW w:w="2967" w:type="dxa"/>
          </w:tcPr>
          <w:p w:rsidR="009A24F1" w:rsidRPr="009A24F1" w:rsidRDefault="009A24F1" w:rsidP="009803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處新臺幣六萬元以上一百二十萬元以下罰鍰，並令其限期改正；屆期不改正者，得按次處罰。</w:t>
            </w:r>
          </w:p>
        </w:tc>
        <w:tc>
          <w:tcPr>
            <w:tcW w:w="2310" w:type="dxa"/>
          </w:tcPr>
          <w:p w:rsidR="009A24F1" w:rsidRPr="009A24F1" w:rsidRDefault="009A24F1" w:rsidP="009803AC">
            <w:pPr>
              <w:spacing w:line="300" w:lineRule="exact"/>
              <w:ind w:leftChars="-36" w:left="374" w:rightChars="-26" w:right="-73" w:hangingChars="198" w:hanging="475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一、每次處新臺幣六萬元，並令限期改正。</w:t>
            </w:r>
          </w:p>
          <w:p w:rsidR="009A24F1" w:rsidRPr="009A24F1" w:rsidRDefault="009A24F1" w:rsidP="009803AC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二、屆期不改正者，得按次處罰。</w:t>
            </w:r>
          </w:p>
        </w:tc>
      </w:tr>
      <w:tr w:rsidR="009A24F1" w:rsidRPr="009A24F1" w:rsidTr="009A24F1">
        <w:trPr>
          <w:trHeight w:val="2309"/>
        </w:trPr>
        <w:tc>
          <w:tcPr>
            <w:tcW w:w="652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7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第五十條第七項</w:t>
            </w:r>
          </w:p>
        </w:tc>
        <w:tc>
          <w:tcPr>
            <w:tcW w:w="1485" w:type="dxa"/>
          </w:tcPr>
          <w:p w:rsidR="009A24F1" w:rsidRPr="009A24F1" w:rsidRDefault="009A24F1" w:rsidP="00303602">
            <w:pPr>
              <w:spacing w:line="300" w:lineRule="exact"/>
              <w:ind w:leftChars="-1" w:left="-3" w:rightChars="-12" w:right="-34" w:firstLine="2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/>
                <w:sz w:val="24"/>
                <w:szCs w:val="24"/>
              </w:rPr>
              <w:t>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七十二</w:t>
            </w:r>
            <w:r w:rsidRPr="009A24F1">
              <w:rPr>
                <w:rFonts w:ascii="標楷體" w:eastAsia="標楷體"/>
                <w:sz w:val="24"/>
                <w:szCs w:val="24"/>
              </w:rPr>
              <w:t>條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第一項</w:t>
            </w:r>
            <w:r w:rsidRPr="009A24F1">
              <w:rPr>
                <w:rFonts w:ascii="標楷體" w:eastAsia="標楷體"/>
                <w:sz w:val="24"/>
                <w:szCs w:val="24"/>
              </w:rPr>
              <w:t>第二款</w:t>
            </w:r>
          </w:p>
        </w:tc>
        <w:tc>
          <w:tcPr>
            <w:tcW w:w="2967" w:type="dxa"/>
          </w:tcPr>
          <w:p w:rsidR="009A24F1" w:rsidRPr="009A24F1" w:rsidRDefault="009A24F1" w:rsidP="009803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予以警告或處新臺幣三萬元以上六十萬元以下罰鍰，並令其限期改正；屆期不改正者，得按次處罰。</w:t>
            </w:r>
          </w:p>
        </w:tc>
        <w:tc>
          <w:tcPr>
            <w:tcW w:w="2310" w:type="dxa"/>
          </w:tcPr>
          <w:p w:rsidR="009A24F1" w:rsidRPr="009A24F1" w:rsidRDefault="009A24F1" w:rsidP="009803AC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一、第一次予以警告，</w:t>
            </w:r>
            <w:r w:rsidRPr="009A24F1">
              <w:rPr>
                <w:rFonts w:ascii="標楷體" w:eastAsia="標楷體"/>
                <w:sz w:val="24"/>
                <w:szCs w:val="24"/>
              </w:rPr>
              <w:t>並令限期改正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。</w:t>
            </w:r>
          </w:p>
          <w:p w:rsidR="009A24F1" w:rsidRPr="009A24F1" w:rsidRDefault="009A24F1" w:rsidP="009803AC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二、第二次以上，每次處新臺幣三萬元，並令限期改正。</w:t>
            </w:r>
          </w:p>
          <w:p w:rsidR="009A24F1" w:rsidRPr="009A24F1" w:rsidRDefault="009A24F1" w:rsidP="009803AC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三、屆期不改正者，得按次處罰。</w:t>
            </w:r>
          </w:p>
        </w:tc>
      </w:tr>
      <w:tr w:rsidR="009A24F1" w:rsidRPr="009A24F1" w:rsidTr="009A24F1">
        <w:trPr>
          <w:trHeight w:val="2435"/>
        </w:trPr>
        <w:tc>
          <w:tcPr>
            <w:tcW w:w="652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第五十一條第一項</w:t>
            </w:r>
          </w:p>
        </w:tc>
        <w:tc>
          <w:tcPr>
            <w:tcW w:w="1485" w:type="dxa"/>
          </w:tcPr>
          <w:p w:rsidR="009A24F1" w:rsidRPr="009A24F1" w:rsidRDefault="009A24F1" w:rsidP="00303602">
            <w:pPr>
              <w:spacing w:line="300" w:lineRule="exact"/>
              <w:ind w:leftChars="-1" w:left="-3" w:rightChars="-12" w:right="-34" w:firstLine="2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/>
                <w:sz w:val="24"/>
                <w:szCs w:val="24"/>
              </w:rPr>
              <w:t>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七十</w:t>
            </w:r>
            <w:r w:rsidRPr="009A24F1">
              <w:rPr>
                <w:rFonts w:ascii="標楷體" w:eastAsia="標楷體"/>
                <w:sz w:val="24"/>
                <w:szCs w:val="24"/>
              </w:rPr>
              <w:t>條第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四</w:t>
            </w:r>
            <w:r w:rsidRPr="009A24F1">
              <w:rPr>
                <w:rFonts w:ascii="標楷體" w:eastAsia="標楷體"/>
                <w:sz w:val="24"/>
                <w:szCs w:val="24"/>
              </w:rPr>
              <w:t>款</w:t>
            </w:r>
          </w:p>
        </w:tc>
        <w:tc>
          <w:tcPr>
            <w:tcW w:w="2967" w:type="dxa"/>
          </w:tcPr>
          <w:p w:rsidR="009A24F1" w:rsidRPr="009A24F1" w:rsidRDefault="009A24F1" w:rsidP="009803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予以警告或處新臺幣六萬元以上一百二十萬元以下罰鍰，並令其限期改正；屆期不改正者，得按次處罰。</w:t>
            </w:r>
          </w:p>
        </w:tc>
        <w:tc>
          <w:tcPr>
            <w:tcW w:w="2310" w:type="dxa"/>
          </w:tcPr>
          <w:p w:rsidR="009A24F1" w:rsidRPr="009A24F1" w:rsidRDefault="009A24F1" w:rsidP="009803AC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一、第一次予以警告，</w:t>
            </w:r>
            <w:r w:rsidRPr="009A24F1">
              <w:rPr>
                <w:rFonts w:ascii="標楷體" w:eastAsia="標楷體"/>
                <w:sz w:val="24"/>
                <w:szCs w:val="24"/>
              </w:rPr>
              <w:t>並令限期改正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。</w:t>
            </w:r>
          </w:p>
          <w:p w:rsidR="009A24F1" w:rsidRPr="009A24F1" w:rsidRDefault="009A24F1" w:rsidP="009803AC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二、第二次以上，每次處新臺幣六萬元，並令限期改正。</w:t>
            </w:r>
          </w:p>
          <w:p w:rsidR="009A24F1" w:rsidRPr="009A24F1" w:rsidRDefault="009A24F1" w:rsidP="009803AC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三、屆期不改正者，得按次處罰。</w:t>
            </w:r>
          </w:p>
        </w:tc>
      </w:tr>
      <w:tr w:rsidR="009A24F1" w:rsidRPr="009A24F1" w:rsidTr="009A24F1">
        <w:trPr>
          <w:trHeight w:val="1146"/>
        </w:trPr>
        <w:tc>
          <w:tcPr>
            <w:tcW w:w="652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第五十二條</w:t>
            </w:r>
          </w:p>
        </w:tc>
        <w:tc>
          <w:tcPr>
            <w:tcW w:w="1485" w:type="dxa"/>
          </w:tcPr>
          <w:p w:rsidR="009A24F1" w:rsidRPr="009A24F1" w:rsidRDefault="009A24F1" w:rsidP="00303602">
            <w:pPr>
              <w:spacing w:line="300" w:lineRule="exact"/>
              <w:ind w:leftChars="-1" w:left="-3" w:rightChars="-12" w:right="-34" w:firstLine="2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/>
                <w:sz w:val="24"/>
                <w:szCs w:val="24"/>
              </w:rPr>
              <w:t>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六</w:t>
            </w:r>
            <w:r w:rsidRPr="009A24F1">
              <w:rPr>
                <w:rFonts w:ascii="標楷體" w:eastAsia="標楷體"/>
                <w:sz w:val="24"/>
                <w:szCs w:val="24"/>
              </w:rPr>
              <w:t>十九條第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九</w:t>
            </w:r>
            <w:r w:rsidRPr="009A24F1">
              <w:rPr>
                <w:rFonts w:ascii="標楷體" w:eastAsia="標楷體"/>
                <w:sz w:val="24"/>
                <w:szCs w:val="24"/>
              </w:rPr>
              <w:t>款</w:t>
            </w:r>
          </w:p>
        </w:tc>
        <w:tc>
          <w:tcPr>
            <w:tcW w:w="2967" w:type="dxa"/>
          </w:tcPr>
          <w:p w:rsidR="009A24F1" w:rsidRPr="009A24F1" w:rsidRDefault="009A24F1" w:rsidP="009803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處新臺幣六萬元以上一百二十萬元以下罰鍰，並令其限期改正；屆期不改正者，得按次處罰。</w:t>
            </w:r>
          </w:p>
        </w:tc>
        <w:tc>
          <w:tcPr>
            <w:tcW w:w="2310" w:type="dxa"/>
          </w:tcPr>
          <w:p w:rsidR="009A24F1" w:rsidRPr="009A24F1" w:rsidRDefault="009A24F1" w:rsidP="009803AC">
            <w:pPr>
              <w:spacing w:line="300" w:lineRule="exact"/>
              <w:ind w:leftChars="-36" w:left="415" w:rightChars="-26" w:right="-73" w:hangingChars="215" w:hanging="51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一、每次處新臺幣六萬元，並令限期改正。</w:t>
            </w:r>
          </w:p>
          <w:p w:rsidR="009A24F1" w:rsidRPr="009A24F1" w:rsidRDefault="009A24F1" w:rsidP="009803AC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二、屆期不改正者，得按次處罰。</w:t>
            </w:r>
          </w:p>
        </w:tc>
      </w:tr>
      <w:tr w:rsidR="009A24F1" w:rsidRPr="009A24F1" w:rsidTr="009A24F1">
        <w:trPr>
          <w:trHeight w:val="4346"/>
        </w:trPr>
        <w:tc>
          <w:tcPr>
            <w:tcW w:w="652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第五十三條</w:t>
            </w:r>
          </w:p>
        </w:tc>
        <w:tc>
          <w:tcPr>
            <w:tcW w:w="1485" w:type="dxa"/>
          </w:tcPr>
          <w:p w:rsidR="009A24F1" w:rsidRPr="009A24F1" w:rsidRDefault="009A24F1" w:rsidP="009803AC">
            <w:pPr>
              <w:spacing w:line="300" w:lineRule="exact"/>
              <w:ind w:leftChars="-1" w:left="-3" w:rightChars="-45" w:right="-126" w:firstLine="2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/>
                <w:sz w:val="24"/>
                <w:szCs w:val="24"/>
              </w:rPr>
              <w:t>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六十三</w:t>
            </w:r>
            <w:r w:rsidRPr="009A24F1">
              <w:rPr>
                <w:rFonts w:ascii="標楷體" w:eastAsia="標楷體"/>
                <w:sz w:val="24"/>
                <w:szCs w:val="24"/>
              </w:rPr>
              <w:t>條</w:t>
            </w:r>
          </w:p>
        </w:tc>
        <w:tc>
          <w:tcPr>
            <w:tcW w:w="2967" w:type="dxa"/>
          </w:tcPr>
          <w:p w:rsidR="009A24F1" w:rsidRPr="009A24F1" w:rsidRDefault="009A24F1" w:rsidP="009803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處新臺幣六萬元以上</w:t>
            </w:r>
            <w:proofErr w:type="gramStart"/>
            <w:r w:rsidRPr="009A24F1">
              <w:rPr>
                <w:rFonts w:ascii="標楷體" w:eastAsia="標楷體" w:hint="eastAsia"/>
                <w:sz w:val="24"/>
                <w:szCs w:val="24"/>
              </w:rPr>
              <w:t>三</w:t>
            </w:r>
            <w:proofErr w:type="gramEnd"/>
            <w:r w:rsidRPr="009A24F1">
              <w:rPr>
                <w:rFonts w:ascii="標楷體" w:eastAsia="標楷體" w:hint="eastAsia"/>
                <w:sz w:val="24"/>
                <w:szCs w:val="24"/>
              </w:rPr>
              <w:t>百萬元以下罰鍰，並令其限期改正；屆期不改正者，得按次處罰，或廢止其經營許可並註銷其執照。</w:t>
            </w:r>
          </w:p>
        </w:tc>
        <w:tc>
          <w:tcPr>
            <w:tcW w:w="2310" w:type="dxa"/>
          </w:tcPr>
          <w:p w:rsidR="009A24F1" w:rsidRPr="009A24F1" w:rsidRDefault="009A24F1" w:rsidP="009803AC">
            <w:pPr>
              <w:spacing w:line="300" w:lineRule="exact"/>
              <w:ind w:leftChars="-27" w:left="416" w:rightChars="-26" w:right="-73" w:hangingChars="205" w:hanging="492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一、每次處新臺幣六萬元，並令限期改正。</w:t>
            </w:r>
          </w:p>
          <w:p w:rsidR="009A24F1" w:rsidRPr="009A24F1" w:rsidRDefault="009A24F1" w:rsidP="009803AC">
            <w:pPr>
              <w:spacing w:line="300" w:lineRule="exact"/>
              <w:ind w:leftChars="-27" w:left="330" w:rightChars="-26" w:right="-73" w:hangingChars="169" w:hanging="406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二、屆期不改正者，得按次處罰。</w:t>
            </w:r>
          </w:p>
          <w:p w:rsidR="009A24F1" w:rsidRPr="009A24F1" w:rsidRDefault="009A24F1" w:rsidP="009803AC">
            <w:pPr>
              <w:spacing w:line="300" w:lineRule="exact"/>
              <w:ind w:leftChars="-27" w:left="416" w:rightChars="-26" w:right="-73" w:hangingChars="205" w:hanging="492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三、廢止經營許可並註銷執照係屬中央主管機關權責，本</w:t>
            </w:r>
            <w:proofErr w:type="gramStart"/>
            <w:r w:rsidRPr="009A24F1">
              <w:rPr>
                <w:rFonts w:ascii="標楷體" w:eastAsia="標楷體" w:hint="eastAsia"/>
                <w:sz w:val="24"/>
                <w:szCs w:val="24"/>
              </w:rPr>
              <w:t>府於裁罰</w:t>
            </w:r>
            <w:proofErr w:type="gramEnd"/>
            <w:r w:rsidRPr="009A24F1">
              <w:rPr>
                <w:rFonts w:ascii="標楷體" w:eastAsia="標楷體" w:hint="eastAsia"/>
                <w:sz w:val="24"/>
                <w:szCs w:val="24"/>
              </w:rPr>
              <w:t>違反本條之裁處書一併副知國家通訊傳播委員會，由該會依法裁處。</w:t>
            </w:r>
          </w:p>
        </w:tc>
      </w:tr>
      <w:tr w:rsidR="009A24F1" w:rsidRPr="009A24F1" w:rsidTr="009A24F1">
        <w:trPr>
          <w:trHeight w:val="1146"/>
        </w:trPr>
        <w:tc>
          <w:tcPr>
            <w:tcW w:w="652" w:type="dxa"/>
          </w:tcPr>
          <w:p w:rsidR="009A24F1" w:rsidRPr="009A24F1" w:rsidRDefault="009A24F1" w:rsidP="009803AC">
            <w:pPr>
              <w:spacing w:line="300" w:lineRule="exact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第七十四條第二項</w:t>
            </w:r>
          </w:p>
        </w:tc>
        <w:tc>
          <w:tcPr>
            <w:tcW w:w="1485" w:type="dxa"/>
          </w:tcPr>
          <w:p w:rsidR="009A24F1" w:rsidRPr="009A24F1" w:rsidRDefault="009A24F1" w:rsidP="009803AC">
            <w:pPr>
              <w:spacing w:line="300" w:lineRule="exact"/>
              <w:ind w:leftChars="-1" w:left="-3" w:rightChars="-45" w:right="-126" w:firstLine="2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/>
                <w:sz w:val="24"/>
                <w:szCs w:val="24"/>
              </w:rPr>
              <w:t>第</w:t>
            </w:r>
            <w:r w:rsidRPr="009A24F1">
              <w:rPr>
                <w:rFonts w:ascii="標楷體" w:eastAsia="標楷體" w:hint="eastAsia"/>
                <w:sz w:val="24"/>
                <w:szCs w:val="24"/>
              </w:rPr>
              <w:t>六十八</w:t>
            </w:r>
            <w:r w:rsidRPr="009A24F1">
              <w:rPr>
                <w:rFonts w:ascii="標楷體" w:eastAsia="標楷體"/>
                <w:sz w:val="24"/>
                <w:szCs w:val="24"/>
              </w:rPr>
              <w:t>條</w:t>
            </w:r>
          </w:p>
        </w:tc>
        <w:tc>
          <w:tcPr>
            <w:tcW w:w="2967" w:type="dxa"/>
          </w:tcPr>
          <w:p w:rsidR="009A24F1" w:rsidRPr="009A24F1" w:rsidRDefault="009A24F1" w:rsidP="009803AC">
            <w:pPr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處新臺幣十萬元以上二百萬元以下罰鍰，並令其限期改正；屆期不改正者，得按次處罰。</w:t>
            </w:r>
          </w:p>
          <w:p w:rsidR="009A24F1" w:rsidRPr="009A24F1" w:rsidRDefault="009A24F1" w:rsidP="009803AC">
            <w:pPr>
              <w:spacing w:line="300" w:lineRule="exact"/>
              <w:ind w:rightChars="-45" w:right="-126"/>
              <w:jc w:val="both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2310" w:type="dxa"/>
          </w:tcPr>
          <w:p w:rsidR="009A24F1" w:rsidRPr="009A24F1" w:rsidRDefault="009A24F1" w:rsidP="009803AC">
            <w:pPr>
              <w:spacing w:line="300" w:lineRule="exact"/>
              <w:ind w:leftChars="-27" w:left="416" w:rightChars="-26" w:right="-73" w:hangingChars="205" w:hanging="492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一、每次處新臺幣十萬元，並令限期改正。</w:t>
            </w:r>
          </w:p>
          <w:p w:rsidR="009A24F1" w:rsidRPr="009A24F1" w:rsidRDefault="009A24F1" w:rsidP="009803AC">
            <w:pPr>
              <w:spacing w:line="300" w:lineRule="exact"/>
              <w:ind w:leftChars="-27" w:left="373" w:rightChars="-26" w:right="-73" w:hangingChars="187" w:hanging="449"/>
              <w:jc w:val="both"/>
              <w:rPr>
                <w:rFonts w:ascii="標楷體" w:eastAsia="標楷體"/>
                <w:sz w:val="24"/>
                <w:szCs w:val="24"/>
              </w:rPr>
            </w:pPr>
            <w:r w:rsidRPr="009A24F1">
              <w:rPr>
                <w:rFonts w:ascii="標楷體" w:eastAsia="標楷體" w:hint="eastAsia"/>
                <w:sz w:val="24"/>
                <w:szCs w:val="24"/>
              </w:rPr>
              <w:t>二、屆期不改正者，得按次處罰。</w:t>
            </w:r>
          </w:p>
        </w:tc>
      </w:tr>
    </w:tbl>
    <w:p w:rsidR="006C0D84" w:rsidRPr="009A24F1" w:rsidRDefault="006C0D84"/>
    <w:sectPr w:rsidR="006C0D84" w:rsidRPr="009A24F1" w:rsidSect="00D93F5D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F1"/>
    <w:rsid w:val="00303602"/>
    <w:rsid w:val="003114C0"/>
    <w:rsid w:val="00402F92"/>
    <w:rsid w:val="004D0E79"/>
    <w:rsid w:val="006C0D84"/>
    <w:rsid w:val="009A24F1"/>
    <w:rsid w:val="00BD7E82"/>
    <w:rsid w:val="00D93F5D"/>
    <w:rsid w:val="00F1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272DD-73C8-4B7D-8DE0-49672051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F1"/>
    <w:pPr>
      <w:widowControl w:val="0"/>
    </w:pPr>
    <w:rPr>
      <w:rFonts w:ascii="新細明體" w:eastAsia="新細明體" w:hAnsi="標楷體" w:cs="Times New Roman"/>
      <w:sz w:val="28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3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張永琦</dc:creator>
  <cp:keywords/>
  <dc:description/>
  <cp:lastModifiedBy>張永琦</cp:lastModifiedBy>
  <cp:revision>8</cp:revision>
  <cp:lastPrinted>2016-11-15T03:26:00Z</cp:lastPrinted>
  <dcterms:created xsi:type="dcterms:W3CDTF">2016-11-15T01:53:00Z</dcterms:created>
  <dcterms:modified xsi:type="dcterms:W3CDTF">2016-11-15T05:02:00Z</dcterms:modified>
</cp:coreProperties>
</file>