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85" w:rsidRPr="00CE1B17" w:rsidRDefault="00A45585" w:rsidP="005A7027">
      <w:pPr>
        <w:jc w:val="center"/>
        <w:rPr>
          <w:rFonts w:ascii="標楷體" w:eastAsia="標楷體" w:hAnsi="標楷體"/>
          <w:sz w:val="36"/>
          <w:szCs w:val="36"/>
        </w:rPr>
      </w:pPr>
      <w:r w:rsidRPr="00CE1B17">
        <w:rPr>
          <w:rFonts w:ascii="標楷體" w:eastAsia="標楷體" w:hAnsi="標楷體" w:hint="eastAsia"/>
          <w:sz w:val="36"/>
          <w:szCs w:val="36"/>
        </w:rPr>
        <w:t>桃園市各級耕地租佃委員會調解調處耕地租佃爭議須知</w:t>
      </w:r>
    </w:p>
    <w:p w:rsidR="00A45585" w:rsidRPr="00CE1B17" w:rsidRDefault="00A45585" w:rsidP="00D4502A">
      <w:pPr>
        <w:wordWrap w:val="0"/>
        <w:jc w:val="right"/>
        <w:rPr>
          <w:rFonts w:ascii="標楷體" w:eastAsia="標楷體" w:hAnsi="標楷體"/>
          <w:szCs w:val="24"/>
        </w:rPr>
      </w:pPr>
      <w:r w:rsidRPr="00CE1B17">
        <w:rPr>
          <w:rFonts w:ascii="標楷體" w:eastAsia="標楷體" w:hAnsi="標楷體" w:hint="eastAsia"/>
          <w:szCs w:val="24"/>
        </w:rPr>
        <w:t>中華民國</w:t>
      </w:r>
      <w:r w:rsidRPr="00CE1B17">
        <w:rPr>
          <w:rFonts w:ascii="標楷體" w:eastAsia="標楷體" w:hAnsi="標楷體"/>
          <w:szCs w:val="24"/>
        </w:rPr>
        <w:t>105</w:t>
      </w:r>
      <w:r w:rsidRPr="00CE1B17">
        <w:rPr>
          <w:rFonts w:ascii="標楷體" w:eastAsia="標楷體" w:hAnsi="標楷體" w:hint="eastAsia"/>
          <w:szCs w:val="24"/>
        </w:rPr>
        <w:t>年</w:t>
      </w:r>
      <w:r w:rsidRPr="00CE1B17">
        <w:rPr>
          <w:rFonts w:ascii="標楷體" w:eastAsia="標楷體" w:hAnsi="標楷體"/>
          <w:szCs w:val="24"/>
        </w:rPr>
        <w:t>3</w:t>
      </w:r>
      <w:r w:rsidRPr="00CE1B17">
        <w:rPr>
          <w:rFonts w:ascii="標楷體" w:eastAsia="標楷體" w:hAnsi="標楷體" w:hint="eastAsia"/>
          <w:szCs w:val="24"/>
        </w:rPr>
        <w:t>月</w:t>
      </w:r>
      <w:r w:rsidR="008D7C65" w:rsidRPr="00CE1B17">
        <w:rPr>
          <w:rFonts w:ascii="標楷體" w:eastAsia="標楷體" w:hAnsi="標楷體" w:hint="eastAsia"/>
          <w:szCs w:val="24"/>
        </w:rPr>
        <w:t>29</w:t>
      </w:r>
      <w:r w:rsidRPr="00CE1B17">
        <w:rPr>
          <w:rFonts w:ascii="標楷體" w:eastAsia="標楷體" w:hAnsi="標楷體" w:hint="eastAsia"/>
          <w:szCs w:val="24"/>
        </w:rPr>
        <w:t>日府地權字第</w:t>
      </w:r>
      <w:r w:rsidRPr="00CE1B17">
        <w:rPr>
          <w:rFonts w:ascii="標楷體" w:eastAsia="標楷體" w:hAnsi="標楷體"/>
          <w:szCs w:val="24"/>
        </w:rPr>
        <w:t>1050071702</w:t>
      </w:r>
      <w:r w:rsidRPr="00CE1B17">
        <w:rPr>
          <w:rFonts w:ascii="標楷體" w:eastAsia="標楷體" w:hAnsi="標楷體" w:hint="eastAsia"/>
          <w:szCs w:val="24"/>
        </w:rPr>
        <w:t>號令發布訂定</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桃園市政府（以下簡稱為本府）為辦理耕地三七五減租條例第二十六條規定耕地租佃爭議調解及調處事項，特訂定本須知。</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本須知所稱各級耕地租佃委員會，指本府耕地租佃委員會</w:t>
      </w:r>
      <w:r w:rsidRPr="00CE1B17">
        <w:rPr>
          <w:rFonts w:ascii="標楷體" w:eastAsia="標楷體" w:hAnsi="標楷體"/>
          <w:sz w:val="32"/>
          <w:szCs w:val="32"/>
        </w:rPr>
        <w:t>(</w:t>
      </w:r>
      <w:r w:rsidRPr="00CE1B17">
        <w:rPr>
          <w:rFonts w:ascii="標楷體" w:eastAsia="標楷體" w:hAnsi="標楷體" w:hint="eastAsia"/>
          <w:sz w:val="32"/>
          <w:szCs w:val="32"/>
        </w:rPr>
        <w:t>以下簡稱本府租佃委員會</w:t>
      </w:r>
      <w:r w:rsidRPr="00CE1B17">
        <w:rPr>
          <w:rFonts w:ascii="標楷體" w:eastAsia="標楷體" w:hAnsi="標楷體"/>
          <w:sz w:val="32"/>
          <w:szCs w:val="32"/>
        </w:rPr>
        <w:t>)</w:t>
      </w:r>
      <w:r w:rsidRPr="00CE1B17">
        <w:rPr>
          <w:rFonts w:ascii="標楷體" w:eastAsia="標楷體" w:hAnsi="標楷體" w:hint="eastAsia"/>
          <w:sz w:val="32"/>
          <w:szCs w:val="32"/>
        </w:rPr>
        <w:t>及桃園市各區公所耕地租佃委員會</w:t>
      </w:r>
      <w:r w:rsidRPr="00CE1B17">
        <w:rPr>
          <w:rFonts w:ascii="標楷體" w:eastAsia="標楷體" w:hAnsi="標楷體"/>
          <w:sz w:val="32"/>
          <w:szCs w:val="32"/>
        </w:rPr>
        <w:t>(</w:t>
      </w:r>
      <w:r w:rsidRPr="00CE1B17">
        <w:rPr>
          <w:rFonts w:ascii="標楷體" w:eastAsia="標楷體" w:hAnsi="標楷體" w:hint="eastAsia"/>
          <w:sz w:val="32"/>
          <w:szCs w:val="32"/>
        </w:rPr>
        <w:t>以下簡稱區公所租佃委員會</w:t>
      </w:r>
      <w:r w:rsidRPr="00CE1B17">
        <w:rPr>
          <w:rFonts w:ascii="標楷體" w:eastAsia="標楷體" w:hAnsi="標楷體"/>
          <w:sz w:val="32"/>
          <w:szCs w:val="32"/>
        </w:rPr>
        <w:t>)</w:t>
      </w:r>
      <w:r w:rsidRPr="00CE1B17">
        <w:rPr>
          <w:rFonts w:ascii="標楷體" w:eastAsia="標楷體" w:hAnsi="標楷體" w:hint="eastAsia"/>
          <w:sz w:val="32"/>
          <w:szCs w:val="32"/>
        </w:rPr>
        <w:t>。</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耕地租佃爭議，應向耕地所在地區公所租佃委員會申請調解；調解不成立者，由該區公所租佃委員會送本府租佃委員會調處。</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爭議當事人申請調解，應填具申請書（附件一），並檢附下列文件向區公所租佃委員會提出申請</w:t>
      </w:r>
      <w:r w:rsidRPr="00CE1B17">
        <w:rPr>
          <w:rFonts w:ascii="標楷體" w:eastAsia="標楷體" w:hAnsi="標楷體"/>
          <w:sz w:val="32"/>
          <w:szCs w:val="32"/>
        </w:rPr>
        <w:t>:</w:t>
      </w:r>
    </w:p>
    <w:p w:rsidR="00A45585" w:rsidRPr="00CE1B17" w:rsidRDefault="00A45585" w:rsidP="00452671">
      <w:pPr>
        <w:spacing w:line="480" w:lineRule="exact"/>
        <w:ind w:left="1317" w:hanging="960"/>
        <w:jc w:val="both"/>
        <w:rPr>
          <w:rFonts w:ascii="標楷體" w:eastAsia="標楷體" w:hAnsi="標楷體"/>
          <w:sz w:val="32"/>
          <w:szCs w:val="32"/>
        </w:rPr>
      </w:pPr>
      <w:r w:rsidRPr="00CE1B17">
        <w:rPr>
          <w:rFonts w:ascii="標楷體" w:eastAsia="標楷體" w:hAnsi="標楷體" w:hint="eastAsia"/>
          <w:sz w:val="32"/>
          <w:szCs w:val="32"/>
        </w:rPr>
        <w:t>（</w:t>
      </w:r>
      <w:proofErr w:type="gramStart"/>
      <w:r w:rsidRPr="00CE1B17">
        <w:rPr>
          <w:rFonts w:ascii="標楷體" w:eastAsia="標楷體" w:hAnsi="標楷體" w:hint="eastAsia"/>
          <w:sz w:val="32"/>
          <w:szCs w:val="32"/>
        </w:rPr>
        <w:t>ㄧ</w:t>
      </w:r>
      <w:proofErr w:type="gramEnd"/>
      <w:r w:rsidRPr="00CE1B17">
        <w:rPr>
          <w:rFonts w:ascii="標楷體" w:eastAsia="標楷體" w:hAnsi="標楷體" w:hint="eastAsia"/>
          <w:sz w:val="32"/>
          <w:szCs w:val="32"/>
        </w:rPr>
        <w:t>）當事人身分證明文件但能以電腦處理達成查詢者，得免提出。</w:t>
      </w:r>
    </w:p>
    <w:p w:rsidR="00A45585" w:rsidRPr="00CE1B17" w:rsidRDefault="00A45585" w:rsidP="00A525E5">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（二）土地登記謄本。</w:t>
      </w:r>
    </w:p>
    <w:p w:rsidR="00A45585" w:rsidRPr="00CE1B17" w:rsidRDefault="00A45585" w:rsidP="00A525E5">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（三）租約正本。</w:t>
      </w:r>
    </w:p>
    <w:p w:rsidR="00A45585" w:rsidRPr="00CE1B17" w:rsidRDefault="00A45585" w:rsidP="00A525E5">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（四）爭議原因證明文件。</w:t>
      </w:r>
    </w:p>
    <w:p w:rsidR="00A45585" w:rsidRPr="00CE1B17" w:rsidRDefault="00A45585" w:rsidP="00A525E5">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（五）其他相關文件。</w:t>
      </w:r>
    </w:p>
    <w:p w:rsidR="00A45585" w:rsidRPr="00CE1B17" w:rsidRDefault="00A45585" w:rsidP="00A525E5">
      <w:pPr>
        <w:spacing w:line="480" w:lineRule="exact"/>
        <w:ind w:left="357"/>
        <w:jc w:val="both"/>
        <w:rPr>
          <w:rFonts w:ascii="標楷體" w:eastAsia="標楷體" w:hAnsi="標楷體"/>
          <w:sz w:val="32"/>
          <w:szCs w:val="32"/>
        </w:rPr>
      </w:pPr>
      <w:r w:rsidRPr="00CE1B17">
        <w:rPr>
          <w:rFonts w:ascii="標楷體" w:eastAsia="標楷體" w:hAnsi="標楷體" w:hint="eastAsia"/>
          <w:sz w:val="32"/>
          <w:szCs w:val="32"/>
        </w:rPr>
        <w:t>區公所租佃委員會受理前項申請，如發現應由數人共同申請或須將數人同列為相對人始為合法而有遺漏者，應請申請人追加漏列者為當事人，有死亡者，應請申請人提供其死亡除戶謄本及繼承人戶籍謄本，並以其全體繼承人為當事人。</w:t>
      </w:r>
    </w:p>
    <w:p w:rsidR="00A45585" w:rsidRPr="00CE1B17" w:rsidRDefault="00A45585" w:rsidP="00A525E5">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區公所租佃委員會收受第一項申請書應發給申請人收據。</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區公所租佃委員會受理耕地租佃爭議調解案件，不得向當事人收取任何費用。</w:t>
      </w:r>
    </w:p>
    <w:p w:rsidR="00A45585" w:rsidRPr="00CE1B17" w:rsidRDefault="00A45585" w:rsidP="00452671">
      <w:pPr>
        <w:pStyle w:val="a3"/>
        <w:numPr>
          <w:ilvl w:val="0"/>
          <w:numId w:val="16"/>
        </w:numPr>
        <w:tabs>
          <w:tab w:val="left" w:pos="360"/>
        </w:tabs>
        <w:spacing w:line="480" w:lineRule="exact"/>
        <w:ind w:left="357" w:firstLine="0"/>
        <w:rPr>
          <w:rFonts w:ascii="標楷體" w:eastAsia="標楷體" w:hAnsi="標楷體"/>
          <w:sz w:val="32"/>
          <w:szCs w:val="32"/>
        </w:rPr>
      </w:pPr>
      <w:r w:rsidRPr="00CE1B17">
        <w:rPr>
          <w:rFonts w:ascii="標楷體" w:eastAsia="標楷體" w:hAnsi="標楷體" w:hint="eastAsia"/>
          <w:sz w:val="32"/>
          <w:szCs w:val="32"/>
        </w:rPr>
        <w:t>區公所租佃委員會受理申請後，應定調解期日，並將調解事項於調解期日七日前，以書面雙掛號通知雙方當事人，並得</w:t>
      </w:r>
      <w:r w:rsidRPr="00CE1B17">
        <w:rPr>
          <w:rFonts w:ascii="標楷體" w:eastAsia="標楷體" w:hAnsi="標楷體" w:hint="eastAsia"/>
          <w:sz w:val="32"/>
          <w:szCs w:val="32"/>
        </w:rPr>
        <w:lastRenderedPageBreak/>
        <w:t>檢附案件相關資料報請本府派員列席指導。</w:t>
      </w:r>
    </w:p>
    <w:p w:rsidR="00CE1B17" w:rsidRDefault="00A45585" w:rsidP="00CE1B17">
      <w:pPr>
        <w:pStyle w:val="a3"/>
        <w:numPr>
          <w:ilvl w:val="0"/>
          <w:numId w:val="16"/>
        </w:numPr>
        <w:tabs>
          <w:tab w:val="left" w:pos="360"/>
        </w:tabs>
        <w:spacing w:line="480" w:lineRule="exact"/>
        <w:ind w:left="357" w:firstLine="0"/>
        <w:jc w:val="both"/>
        <w:rPr>
          <w:rFonts w:ascii="標楷體" w:eastAsia="標楷體" w:hAnsi="標楷體" w:hint="eastAsia"/>
          <w:sz w:val="32"/>
          <w:szCs w:val="32"/>
        </w:rPr>
      </w:pPr>
      <w:r w:rsidRPr="00CE1B17">
        <w:rPr>
          <w:rFonts w:ascii="標楷體" w:eastAsia="標楷體" w:hAnsi="標楷體" w:hint="eastAsia"/>
          <w:sz w:val="32"/>
          <w:szCs w:val="32"/>
        </w:rPr>
        <w:t>當事人收受調解通知後，對爭議案件如有答辯或補充意見者，應於調解期日前以書面將答辯或補充意見送達區公所租佃委員會。</w:t>
      </w:r>
    </w:p>
    <w:p w:rsidR="00CE1B17" w:rsidRDefault="00CE1B17" w:rsidP="00CE1B17">
      <w:pPr>
        <w:pStyle w:val="a3"/>
        <w:numPr>
          <w:ilvl w:val="0"/>
          <w:numId w:val="16"/>
        </w:numPr>
        <w:tabs>
          <w:tab w:val="left" w:pos="360"/>
        </w:tabs>
        <w:spacing w:line="480" w:lineRule="exact"/>
        <w:ind w:left="357" w:firstLine="0"/>
        <w:jc w:val="both"/>
        <w:rPr>
          <w:rFonts w:ascii="標楷體" w:eastAsia="標楷體" w:hAnsi="標楷體" w:hint="eastAsia"/>
          <w:sz w:val="32"/>
          <w:szCs w:val="32"/>
        </w:rPr>
      </w:pPr>
      <w:r w:rsidRPr="00CE1B17">
        <w:rPr>
          <w:rFonts w:ascii="標楷體" w:eastAsia="標楷體" w:hAnsi="標楷體" w:hint="eastAsia"/>
          <w:sz w:val="32"/>
          <w:szCs w:val="32"/>
        </w:rPr>
        <w:t>調解時，</w:t>
      </w:r>
      <w:proofErr w:type="gramStart"/>
      <w:r w:rsidRPr="00CE1B17">
        <w:rPr>
          <w:rFonts w:ascii="標楷體" w:eastAsia="標楷體" w:hAnsi="標楷體" w:hint="eastAsia"/>
          <w:sz w:val="32"/>
          <w:szCs w:val="32"/>
        </w:rPr>
        <w:t>當事人均應親自</w:t>
      </w:r>
      <w:proofErr w:type="gramEnd"/>
      <w:r w:rsidRPr="00CE1B17">
        <w:rPr>
          <w:rFonts w:ascii="標楷體" w:eastAsia="標楷體" w:hAnsi="標楷體" w:hint="eastAsia"/>
          <w:sz w:val="32"/>
          <w:szCs w:val="32"/>
        </w:rPr>
        <w:t>到場，因故不能到場時，得以書面</w:t>
      </w:r>
    </w:p>
    <w:p w:rsidR="00A45585" w:rsidRPr="00CE1B17" w:rsidRDefault="00A45585" w:rsidP="00CE1B17">
      <w:pPr>
        <w:tabs>
          <w:tab w:val="left" w:pos="360"/>
        </w:tabs>
        <w:spacing w:line="480" w:lineRule="exact"/>
        <w:ind w:left="357"/>
        <w:jc w:val="both"/>
        <w:rPr>
          <w:rFonts w:ascii="標楷體" w:eastAsia="標楷體" w:hAnsi="標楷體"/>
          <w:sz w:val="32"/>
          <w:szCs w:val="32"/>
        </w:rPr>
      </w:pPr>
      <w:r w:rsidRPr="00CE1B17">
        <w:rPr>
          <w:rFonts w:ascii="標楷體" w:eastAsia="標楷體" w:hAnsi="標楷體" w:hint="eastAsia"/>
          <w:sz w:val="32"/>
          <w:szCs w:val="32"/>
        </w:rPr>
        <w:t>（附件</w:t>
      </w:r>
      <w:r w:rsidR="00592AED" w:rsidRPr="00CE1B17">
        <w:rPr>
          <w:rFonts w:ascii="標楷體" w:eastAsia="標楷體" w:hAnsi="標楷體" w:hint="eastAsia"/>
          <w:sz w:val="32"/>
          <w:szCs w:val="32"/>
        </w:rPr>
        <w:t xml:space="preserve"> </w:t>
      </w:r>
      <w:r w:rsidRPr="00CE1B17">
        <w:rPr>
          <w:rFonts w:ascii="標楷體" w:eastAsia="標楷體" w:hAnsi="標楷體" w:hint="eastAsia"/>
          <w:sz w:val="32"/>
          <w:szCs w:val="32"/>
        </w:rPr>
        <w:t>二）</w:t>
      </w:r>
      <w:bookmarkStart w:id="0" w:name="_GoBack"/>
      <w:bookmarkEnd w:id="0"/>
      <w:r w:rsidR="00452671" w:rsidRPr="00CE1B17">
        <w:rPr>
          <w:rFonts w:ascii="標楷體" w:eastAsia="標楷體" w:hAnsi="標楷體" w:hint="eastAsia"/>
          <w:sz w:val="32"/>
          <w:szCs w:val="32"/>
        </w:rPr>
        <w:t>委託他人代理之。區公所租佃委員會得視調解需要，通知證人或其他關係人到場列席。</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爭議申請人經二次通知不到場，亦未委託代理人到場者，視為撤回申請。相對人經二次通知不到場，亦未提出書面答辯或拒不接受通知者，視為調解不成立。區公所租佃委員會得就申請人陳述理由，依據法令及事實作成決議，送本府租佃委員會調處。</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調解爭議事件，如有耕地三七五減租條例第十六條第</w:t>
      </w:r>
      <w:r w:rsidR="0072377A" w:rsidRPr="00CE1B17">
        <w:rPr>
          <w:rFonts w:ascii="標楷體" w:eastAsia="標楷體" w:hAnsi="標楷體" w:hint="eastAsia"/>
          <w:sz w:val="32"/>
          <w:szCs w:val="32"/>
        </w:rPr>
        <w:t>一項、</w:t>
      </w:r>
      <w:r w:rsidRPr="00CE1B17">
        <w:rPr>
          <w:rFonts w:ascii="標楷體" w:eastAsia="標楷體" w:hAnsi="標楷體" w:hint="eastAsia"/>
          <w:sz w:val="32"/>
          <w:szCs w:val="32"/>
        </w:rPr>
        <w:t>第十七條第一項第四款或第五款規定情事，或當事人陳述</w:t>
      </w:r>
      <w:proofErr w:type="gramStart"/>
      <w:r w:rsidRPr="00CE1B17">
        <w:rPr>
          <w:rFonts w:ascii="標楷體" w:eastAsia="標楷體" w:hAnsi="標楷體" w:hint="eastAsia"/>
          <w:sz w:val="32"/>
          <w:szCs w:val="32"/>
        </w:rPr>
        <w:t>欠明者</w:t>
      </w:r>
      <w:proofErr w:type="gramEnd"/>
      <w:r w:rsidRPr="00CE1B17">
        <w:rPr>
          <w:rFonts w:ascii="標楷體" w:eastAsia="標楷體" w:hAnsi="標楷體" w:hint="eastAsia"/>
          <w:sz w:val="32"/>
          <w:szCs w:val="32"/>
        </w:rPr>
        <w:t>，區公所租佃委員會應於調解期日前派員實地調查。</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調解爭議案件，經辦人員應簽</w:t>
      </w:r>
      <w:proofErr w:type="gramStart"/>
      <w:r w:rsidRPr="00CE1B17">
        <w:rPr>
          <w:rFonts w:ascii="標楷體" w:eastAsia="標楷體" w:hAnsi="標楷體" w:hint="eastAsia"/>
          <w:sz w:val="32"/>
          <w:szCs w:val="32"/>
        </w:rPr>
        <w:t>註</w:t>
      </w:r>
      <w:proofErr w:type="gramEnd"/>
      <w:r w:rsidRPr="00CE1B17">
        <w:rPr>
          <w:rFonts w:ascii="標楷體" w:eastAsia="標楷體" w:hAnsi="標楷體" w:hint="eastAsia"/>
          <w:sz w:val="32"/>
          <w:szCs w:val="32"/>
        </w:rPr>
        <w:t>有關法令及處理意見一併附案提會調解。</w:t>
      </w:r>
    </w:p>
    <w:p w:rsidR="00A45585" w:rsidRPr="00CE1B17" w:rsidRDefault="00A45585" w:rsidP="00A525E5">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調解依下列程序以會議方式進行：</w:t>
      </w:r>
    </w:p>
    <w:p w:rsidR="00A45585" w:rsidRPr="00CE1B17" w:rsidRDefault="00A45585" w:rsidP="008D0181">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（一）申請人陳述申請之事實理由及目的。</w:t>
      </w:r>
    </w:p>
    <w:p w:rsidR="00A45585" w:rsidRPr="00CE1B17" w:rsidRDefault="00A45585" w:rsidP="008D0181">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（二）相對人陳述事實及理由。</w:t>
      </w:r>
    </w:p>
    <w:p w:rsidR="00A45585" w:rsidRPr="00CE1B17" w:rsidRDefault="00A45585" w:rsidP="008D0181">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（三）詢問關係人或證人。</w:t>
      </w:r>
    </w:p>
    <w:p w:rsidR="00A45585" w:rsidRPr="00CE1B17" w:rsidRDefault="00A45585" w:rsidP="00CE1B17">
      <w:pPr>
        <w:spacing w:line="480" w:lineRule="exact"/>
        <w:ind w:leftChars="149" w:left="1318" w:hangingChars="300" w:hanging="960"/>
        <w:jc w:val="both"/>
        <w:rPr>
          <w:rFonts w:ascii="標楷體" w:eastAsia="標楷體" w:hAnsi="標楷體"/>
          <w:sz w:val="32"/>
          <w:szCs w:val="32"/>
        </w:rPr>
      </w:pPr>
      <w:r w:rsidRPr="00CE1B17">
        <w:rPr>
          <w:rFonts w:ascii="標楷體" w:eastAsia="標楷體" w:hAnsi="標楷體" w:hint="eastAsia"/>
          <w:sz w:val="32"/>
          <w:szCs w:val="32"/>
        </w:rPr>
        <w:t>（四）委員依據詢問結果並參酌法令及實情，議定調解方法，如意見不能一致時，得</w:t>
      </w:r>
      <w:proofErr w:type="gramStart"/>
      <w:r w:rsidRPr="00CE1B17">
        <w:rPr>
          <w:rFonts w:ascii="標楷體" w:eastAsia="標楷體" w:hAnsi="標楷體" w:hint="eastAsia"/>
          <w:sz w:val="32"/>
          <w:szCs w:val="32"/>
        </w:rPr>
        <w:t>採</w:t>
      </w:r>
      <w:proofErr w:type="gramEnd"/>
      <w:r w:rsidRPr="00CE1B17">
        <w:rPr>
          <w:rFonts w:ascii="標楷體" w:eastAsia="標楷體" w:hAnsi="標楷體" w:hint="eastAsia"/>
          <w:sz w:val="32"/>
          <w:szCs w:val="32"/>
        </w:rPr>
        <w:t>表決方式決定。</w:t>
      </w:r>
    </w:p>
    <w:p w:rsidR="00A45585" w:rsidRPr="00CE1B17" w:rsidRDefault="00A45585" w:rsidP="008D0181">
      <w:pPr>
        <w:spacing w:line="480" w:lineRule="exact"/>
        <w:ind w:firstLine="357"/>
        <w:jc w:val="both"/>
        <w:rPr>
          <w:rFonts w:ascii="標楷體" w:eastAsia="標楷體" w:hAnsi="標楷體"/>
          <w:sz w:val="32"/>
          <w:szCs w:val="32"/>
        </w:rPr>
      </w:pPr>
      <w:r w:rsidRPr="00CE1B17">
        <w:rPr>
          <w:rFonts w:ascii="標楷體" w:eastAsia="標楷體" w:hAnsi="標楷體" w:hint="eastAsia"/>
          <w:sz w:val="32"/>
          <w:szCs w:val="32"/>
        </w:rPr>
        <w:t>（五）雙方當事人進行調解。</w:t>
      </w:r>
    </w:p>
    <w:p w:rsidR="00A45585" w:rsidRPr="00CE1B17" w:rsidRDefault="00A45585" w:rsidP="00CE1B17">
      <w:pPr>
        <w:spacing w:line="480" w:lineRule="exact"/>
        <w:ind w:leftChars="149" w:left="1318" w:hangingChars="300" w:hanging="960"/>
        <w:jc w:val="both"/>
        <w:rPr>
          <w:rFonts w:ascii="標楷體" w:eastAsia="標楷體" w:hAnsi="標楷體"/>
          <w:sz w:val="32"/>
          <w:szCs w:val="32"/>
        </w:rPr>
      </w:pPr>
      <w:r w:rsidRPr="00CE1B17">
        <w:rPr>
          <w:rFonts w:ascii="標楷體" w:eastAsia="標楷體" w:hAnsi="標楷體" w:hint="eastAsia"/>
          <w:sz w:val="32"/>
          <w:szCs w:val="32"/>
        </w:rPr>
        <w:t>（六）調解完畢作成筆錄並當場宣讀，經當事人確認為無誤後由當事人及與會委員簽名或蓋章。</w:t>
      </w:r>
    </w:p>
    <w:p w:rsidR="00A45585" w:rsidRPr="00CE1B17" w:rsidRDefault="00A45585" w:rsidP="008D0181">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本府租佃委員會辦理調處時，</w:t>
      </w:r>
      <w:proofErr w:type="gramStart"/>
      <w:r w:rsidRPr="00CE1B17">
        <w:rPr>
          <w:rFonts w:ascii="標楷體" w:eastAsia="標楷體" w:hAnsi="標楷體" w:hint="eastAsia"/>
          <w:sz w:val="32"/>
          <w:szCs w:val="32"/>
        </w:rPr>
        <w:t>準用第</w:t>
      </w:r>
      <w:proofErr w:type="gramEnd"/>
      <w:r w:rsidRPr="00CE1B17">
        <w:rPr>
          <w:rFonts w:ascii="標楷體" w:eastAsia="標楷體" w:hAnsi="標楷體" w:hint="eastAsia"/>
          <w:sz w:val="32"/>
          <w:szCs w:val="32"/>
        </w:rPr>
        <w:t>五點、第七點、第八點及第十點至第十二點規定。</w:t>
      </w:r>
    </w:p>
    <w:p w:rsidR="00A45585" w:rsidRPr="00CE1B17" w:rsidRDefault="00A45585" w:rsidP="008D0181">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調解、調處筆錄（附件三、附件四）應記載下列事項</w:t>
      </w:r>
      <w:r w:rsidRPr="00CE1B17">
        <w:rPr>
          <w:rFonts w:ascii="標楷體" w:eastAsia="標楷體" w:hAnsi="標楷體"/>
          <w:sz w:val="32"/>
          <w:szCs w:val="32"/>
        </w:rPr>
        <w:t>:</w:t>
      </w:r>
    </w:p>
    <w:p w:rsidR="00A45585" w:rsidRPr="00CE1B17" w:rsidRDefault="00A45585" w:rsidP="00CE1B17">
      <w:pPr>
        <w:spacing w:line="480" w:lineRule="exact"/>
        <w:ind w:leftChars="149" w:left="1318" w:hangingChars="300" w:hanging="960"/>
        <w:jc w:val="both"/>
        <w:rPr>
          <w:rFonts w:ascii="標楷體" w:eastAsia="標楷體" w:hAnsi="標楷體"/>
          <w:sz w:val="32"/>
          <w:szCs w:val="32"/>
        </w:rPr>
      </w:pPr>
      <w:r w:rsidRPr="00CE1B17">
        <w:rPr>
          <w:rFonts w:ascii="標楷體" w:eastAsia="標楷體" w:hAnsi="標楷體" w:hint="eastAsia"/>
          <w:sz w:val="32"/>
          <w:szCs w:val="32"/>
        </w:rPr>
        <w:t>（一）調解、調處之地點及時間。</w:t>
      </w:r>
    </w:p>
    <w:p w:rsidR="00A45585" w:rsidRPr="00CE1B17" w:rsidRDefault="00A45585" w:rsidP="00CE1B17">
      <w:pPr>
        <w:spacing w:line="480" w:lineRule="exact"/>
        <w:ind w:leftChars="149" w:left="1318" w:hangingChars="300" w:hanging="960"/>
        <w:jc w:val="both"/>
        <w:rPr>
          <w:rFonts w:ascii="標楷體" w:eastAsia="標楷體" w:hAnsi="標楷體"/>
          <w:sz w:val="32"/>
          <w:szCs w:val="32"/>
        </w:rPr>
      </w:pPr>
      <w:r w:rsidRPr="00CE1B17">
        <w:rPr>
          <w:rFonts w:ascii="標楷體" w:eastAsia="標楷體" w:hAnsi="標楷體" w:hint="eastAsia"/>
          <w:sz w:val="32"/>
          <w:szCs w:val="32"/>
        </w:rPr>
        <w:t>（二）主席、出席委員及記錄人員姓名。</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（三）到場當事人、法定代理人、關係人或證人及調解、調處代理人姓名。</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（四）兩造當事人請求調解、調處之標的及目的。</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（五）兩造當事人就爭議事件事實上或法律上之陳述及證據之聲明。</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（六）主席或出席委員詢問兩造當事人、證人或其他關係人之內容及結果。</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（七）指派實地調查人員調查結果之陳述。</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（八）出席委員對爭議事件之處理意見及理由。</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（九）決議及其理由。</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（十）兩造當事人對決議是否接受。</w:t>
      </w:r>
    </w:p>
    <w:p w:rsidR="00A45585" w:rsidRPr="00CE1B17" w:rsidRDefault="00A45585" w:rsidP="00CE1B17">
      <w:pPr>
        <w:spacing w:line="480" w:lineRule="exact"/>
        <w:ind w:leftChars="148" w:left="1632" w:hangingChars="399" w:hanging="1277"/>
        <w:rPr>
          <w:rFonts w:ascii="標楷體" w:eastAsia="標楷體" w:hAnsi="標楷體"/>
          <w:sz w:val="32"/>
          <w:szCs w:val="32"/>
        </w:rPr>
      </w:pPr>
      <w:r w:rsidRPr="00CE1B17">
        <w:rPr>
          <w:rFonts w:ascii="標楷體" w:eastAsia="標楷體" w:hAnsi="標楷體" w:hint="eastAsia"/>
          <w:sz w:val="32"/>
          <w:szCs w:val="32"/>
        </w:rPr>
        <w:t>（十一）當事人當場所提出之文書，經主席認為適當者，得將該文書附於筆錄並於筆錄記明其事由。</w:t>
      </w:r>
    </w:p>
    <w:p w:rsidR="00A45585" w:rsidRPr="00CE1B17" w:rsidRDefault="00337377" w:rsidP="00CE1B17">
      <w:pPr>
        <w:spacing w:line="480" w:lineRule="exact"/>
        <w:ind w:leftChars="149" w:left="1638" w:hangingChars="400" w:hanging="1280"/>
        <w:rPr>
          <w:rFonts w:ascii="標楷體" w:eastAsia="標楷體" w:hAnsi="標楷體"/>
          <w:sz w:val="32"/>
          <w:szCs w:val="32"/>
        </w:rPr>
      </w:pPr>
      <w:r w:rsidRPr="00CE1B17">
        <w:rPr>
          <w:rFonts w:ascii="標楷體" w:eastAsia="標楷體" w:hAnsi="標楷體" w:hint="eastAsia"/>
          <w:sz w:val="32"/>
          <w:szCs w:val="32"/>
        </w:rPr>
        <w:t>（十二）筆錄內引用附卷之文書或表示將該文書作為附件者</w:t>
      </w:r>
      <w:r w:rsidR="00A45585" w:rsidRPr="00CE1B17">
        <w:rPr>
          <w:rFonts w:ascii="標楷體" w:eastAsia="標楷體" w:hAnsi="標楷體" w:hint="eastAsia"/>
          <w:sz w:val="32"/>
          <w:szCs w:val="32"/>
        </w:rPr>
        <w:t>其文書記載之事項與筆錄有同一之效力。</w:t>
      </w:r>
    </w:p>
    <w:p w:rsidR="00A45585" w:rsidRPr="00CE1B17" w:rsidRDefault="00A45585" w:rsidP="00CE1B17">
      <w:pPr>
        <w:spacing w:line="480" w:lineRule="exact"/>
        <w:ind w:leftChars="149" w:left="1638" w:hangingChars="400" w:hanging="1280"/>
        <w:rPr>
          <w:rFonts w:ascii="標楷體" w:eastAsia="標楷體" w:hAnsi="標楷體"/>
          <w:sz w:val="32"/>
          <w:szCs w:val="32"/>
        </w:rPr>
      </w:pPr>
      <w:r w:rsidRPr="00CE1B17">
        <w:rPr>
          <w:rFonts w:ascii="標楷體" w:eastAsia="標楷體" w:hAnsi="標楷體" w:hint="eastAsia"/>
          <w:sz w:val="32"/>
          <w:szCs w:val="32"/>
        </w:rPr>
        <w:t>（十三）筆錄應當場向當事人朗讀，當事人對筆錄所載內容有異議者，記錄人員得更正、補充之；如認其異議為不當者，應於筆錄內附記其異議。</w:t>
      </w:r>
    </w:p>
    <w:p w:rsidR="00A45585" w:rsidRPr="00CE1B17" w:rsidRDefault="00A45585" w:rsidP="00CE1B17">
      <w:pPr>
        <w:spacing w:line="480" w:lineRule="exact"/>
        <w:ind w:leftChars="149" w:left="1638" w:hangingChars="400" w:hanging="1280"/>
        <w:rPr>
          <w:rFonts w:ascii="標楷體" w:eastAsia="標楷體" w:hAnsi="標楷體"/>
          <w:sz w:val="32"/>
          <w:szCs w:val="32"/>
        </w:rPr>
      </w:pPr>
      <w:r w:rsidRPr="00CE1B17">
        <w:rPr>
          <w:rFonts w:ascii="標楷體" w:eastAsia="標楷體" w:hAnsi="標楷體" w:hint="eastAsia"/>
          <w:sz w:val="32"/>
          <w:szCs w:val="32"/>
        </w:rPr>
        <w:t>（十四）筆錄不得挖補或塗改，如有增加或刪除，除應蓋章並記明字數外，其刪除處應留存字跡</w:t>
      </w:r>
      <w:proofErr w:type="gramStart"/>
      <w:r w:rsidRPr="00CE1B17">
        <w:rPr>
          <w:rFonts w:ascii="標楷體" w:eastAsia="標楷體" w:hAnsi="標楷體" w:hint="eastAsia"/>
          <w:sz w:val="32"/>
          <w:szCs w:val="32"/>
        </w:rPr>
        <w:t>俾</w:t>
      </w:r>
      <w:proofErr w:type="gramEnd"/>
      <w:r w:rsidRPr="00CE1B17">
        <w:rPr>
          <w:rFonts w:ascii="標楷體" w:eastAsia="標楷體" w:hAnsi="標楷體" w:hint="eastAsia"/>
          <w:sz w:val="32"/>
          <w:szCs w:val="32"/>
        </w:rPr>
        <w:t>憑辨認。</w:t>
      </w:r>
    </w:p>
    <w:p w:rsidR="00A45585" w:rsidRPr="00CE1B17" w:rsidRDefault="00A45585" w:rsidP="008B6EB0">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調解、調處卷宗依下列方式處理：</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（一）當事人書狀、筆錄及其他有關爭議事件之文書須保存者，</w:t>
      </w:r>
      <w:proofErr w:type="gramStart"/>
      <w:r w:rsidRPr="00CE1B17">
        <w:rPr>
          <w:rFonts w:ascii="標楷體" w:eastAsia="標楷體" w:hAnsi="標楷體" w:hint="eastAsia"/>
          <w:sz w:val="32"/>
          <w:szCs w:val="32"/>
        </w:rPr>
        <w:t>應按收受</w:t>
      </w:r>
      <w:proofErr w:type="gramEnd"/>
      <w:r w:rsidRPr="00CE1B17">
        <w:rPr>
          <w:rFonts w:ascii="標楷體" w:eastAsia="標楷體" w:hAnsi="標楷體" w:hint="eastAsia"/>
          <w:sz w:val="32"/>
          <w:szCs w:val="32"/>
        </w:rPr>
        <w:t>或作成先後編列卷宗。</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（二）當事人提出之文書須發還者，應將其</w:t>
      </w:r>
      <w:proofErr w:type="gramStart"/>
      <w:r w:rsidRPr="00CE1B17">
        <w:rPr>
          <w:rFonts w:ascii="標楷體" w:eastAsia="標楷體" w:hAnsi="標楷體" w:hint="eastAsia"/>
          <w:sz w:val="32"/>
          <w:szCs w:val="32"/>
        </w:rPr>
        <w:t>繕</w:t>
      </w:r>
      <w:proofErr w:type="gramEnd"/>
      <w:r w:rsidRPr="00CE1B17">
        <w:rPr>
          <w:rFonts w:ascii="標楷體" w:eastAsia="標楷體" w:hAnsi="標楷體" w:hint="eastAsia"/>
          <w:sz w:val="32"/>
          <w:szCs w:val="32"/>
        </w:rPr>
        <w:t>本或節本與原本核對無異，並由當事人切結「</w:t>
      </w:r>
      <w:proofErr w:type="gramStart"/>
      <w:r w:rsidRPr="00CE1B17">
        <w:rPr>
          <w:rFonts w:ascii="標楷體" w:eastAsia="標楷體" w:hAnsi="標楷體" w:hint="eastAsia"/>
          <w:sz w:val="32"/>
          <w:szCs w:val="32"/>
        </w:rPr>
        <w:t>本影本</w:t>
      </w:r>
      <w:proofErr w:type="gramEnd"/>
      <w:r w:rsidRPr="00CE1B17">
        <w:rPr>
          <w:rFonts w:ascii="標楷體" w:eastAsia="標楷體" w:hAnsi="標楷體" w:hint="eastAsia"/>
          <w:sz w:val="32"/>
          <w:szCs w:val="32"/>
        </w:rPr>
        <w:t>與正本相符」字樣及簽名或蓋章後，將</w:t>
      </w:r>
      <w:proofErr w:type="gramStart"/>
      <w:r w:rsidRPr="00CE1B17">
        <w:rPr>
          <w:rFonts w:ascii="標楷體" w:eastAsia="標楷體" w:hAnsi="標楷體" w:hint="eastAsia"/>
          <w:sz w:val="32"/>
          <w:szCs w:val="32"/>
        </w:rPr>
        <w:t>繕</w:t>
      </w:r>
      <w:proofErr w:type="gramEnd"/>
      <w:r w:rsidRPr="00CE1B17">
        <w:rPr>
          <w:rFonts w:ascii="標楷體" w:eastAsia="標楷體" w:hAnsi="標楷體" w:hint="eastAsia"/>
          <w:sz w:val="32"/>
          <w:szCs w:val="32"/>
        </w:rPr>
        <w:t>本或節本附卷，原本發還。</w:t>
      </w:r>
      <w:r w:rsidRPr="00CE1B17">
        <w:rPr>
          <w:rFonts w:ascii="標楷體" w:eastAsia="標楷體" w:hAnsi="標楷體"/>
          <w:sz w:val="32"/>
          <w:szCs w:val="32"/>
        </w:rPr>
        <w:t xml:space="preserve"> </w:t>
      </w:r>
    </w:p>
    <w:p w:rsidR="00A45585" w:rsidRPr="00CE1B17" w:rsidRDefault="00A45585" w:rsidP="00CE1B17">
      <w:pPr>
        <w:spacing w:line="480" w:lineRule="exact"/>
        <w:ind w:leftChars="149" w:left="1318" w:hangingChars="300" w:hanging="960"/>
        <w:rPr>
          <w:rFonts w:ascii="標楷體" w:eastAsia="標楷體" w:hAnsi="標楷體"/>
          <w:sz w:val="32"/>
          <w:szCs w:val="32"/>
        </w:rPr>
      </w:pPr>
      <w:r w:rsidRPr="00CE1B17">
        <w:rPr>
          <w:rFonts w:ascii="標楷體" w:eastAsia="標楷體" w:hAnsi="標楷體" w:hint="eastAsia"/>
          <w:sz w:val="32"/>
          <w:szCs w:val="32"/>
        </w:rPr>
        <w:t>（三）卷宗應編訂目錄並加封。</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經調解成立案件，應於七日內將筆錄送達當事人，並報請本府租佃委員會發給調解成立證明書；未成立之案件，應於七日內，將筆錄連同有關案卷送本府租佃委員會，予以調處。</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本府租佃委員會收受區公所租佃委員會調解未成立之案件，應將調處事項於調處期日七日前，以書面通知雙方當事人。</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調處爭議當事人一方經二次通知不到場，亦未提出書面意見或拒不接受通知者，本府租佃委員會仍應就已知之一切資料斟酌，作成決議。</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本府租佃委員會作成之調處決議，除雙方當事人當場表示同意，調處成立，或當場表示不同意，調處不成立者外，應於調處後十日內，將調處決議送達當事人。當事人於調處決議送達後十五日內，未表示意見者，視為不服調處決議，移送司法機關處理；當事人聲明不服者，亦同。</w:t>
      </w:r>
    </w:p>
    <w:p w:rsidR="00A45585" w:rsidRPr="00CE1B17" w:rsidRDefault="00A45585" w:rsidP="009D4414">
      <w:pPr>
        <w:spacing w:line="480" w:lineRule="exact"/>
        <w:ind w:left="357"/>
        <w:jc w:val="both"/>
        <w:rPr>
          <w:rFonts w:ascii="標楷體" w:eastAsia="標楷體" w:hAnsi="標楷體"/>
          <w:sz w:val="32"/>
          <w:szCs w:val="32"/>
        </w:rPr>
      </w:pPr>
      <w:r w:rsidRPr="00CE1B17">
        <w:rPr>
          <w:rFonts w:ascii="標楷體" w:eastAsia="標楷體" w:hAnsi="標楷體" w:hint="eastAsia"/>
          <w:sz w:val="32"/>
          <w:szCs w:val="32"/>
        </w:rPr>
        <w:t>當事人於調處決議送達後十五日內表示同意者，視為調處成立，應發給證明，並將調處筆錄副本連同原案卷發回原區公所租佃委員會。</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調處成立案件應於調處後七日內將調處筆錄送達當事人，並由本府租佃委員會發給調處成立證明書，同時將調處筆錄連同原案卷發回原區公所租佃委員會；不服調處決議案件，應於當事人不服或調處不成立後三日內，將調處筆錄連同有關案卷移送司法機關處理。</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區公所租佃委員會應將調解案件按年統計列表，並於每年一月三十</w:t>
      </w:r>
      <w:proofErr w:type="gramStart"/>
      <w:r w:rsidRPr="00CE1B17">
        <w:rPr>
          <w:rFonts w:ascii="標楷體" w:eastAsia="標楷體" w:hAnsi="標楷體" w:hint="eastAsia"/>
          <w:sz w:val="32"/>
          <w:szCs w:val="32"/>
        </w:rPr>
        <w:t>ㄧ</w:t>
      </w:r>
      <w:proofErr w:type="gramEnd"/>
      <w:r w:rsidRPr="00CE1B17">
        <w:rPr>
          <w:rFonts w:ascii="標楷體" w:eastAsia="標楷體" w:hAnsi="標楷體" w:hint="eastAsia"/>
          <w:sz w:val="32"/>
          <w:szCs w:val="32"/>
        </w:rPr>
        <w:t>日前陳報本府。</w:t>
      </w:r>
    </w:p>
    <w:p w:rsidR="00A45585" w:rsidRPr="00CE1B17" w:rsidRDefault="00A45585" w:rsidP="009D4414">
      <w:pPr>
        <w:pStyle w:val="a3"/>
        <w:numPr>
          <w:ilvl w:val="0"/>
          <w:numId w:val="16"/>
        </w:numPr>
        <w:tabs>
          <w:tab w:val="left" w:pos="360"/>
        </w:tabs>
        <w:spacing w:line="480" w:lineRule="exact"/>
        <w:ind w:left="357" w:firstLine="0"/>
        <w:jc w:val="both"/>
        <w:rPr>
          <w:rFonts w:ascii="標楷體" w:eastAsia="標楷體" w:hAnsi="標楷體"/>
          <w:sz w:val="32"/>
          <w:szCs w:val="32"/>
        </w:rPr>
      </w:pPr>
      <w:r w:rsidRPr="00CE1B17">
        <w:rPr>
          <w:rFonts w:ascii="標楷體" w:eastAsia="標楷體" w:hAnsi="標楷體" w:hint="eastAsia"/>
          <w:sz w:val="32"/>
          <w:szCs w:val="32"/>
        </w:rPr>
        <w:t>本須知</w:t>
      </w:r>
      <w:proofErr w:type="gramStart"/>
      <w:r w:rsidRPr="00CE1B17">
        <w:rPr>
          <w:rFonts w:ascii="標楷體" w:eastAsia="標楷體" w:hAnsi="標楷體" w:hint="eastAsia"/>
          <w:sz w:val="32"/>
          <w:szCs w:val="32"/>
        </w:rPr>
        <w:t>所需書表</w:t>
      </w:r>
      <w:proofErr w:type="gramEnd"/>
      <w:r w:rsidRPr="00CE1B17">
        <w:rPr>
          <w:rFonts w:ascii="標楷體" w:eastAsia="標楷體" w:hAnsi="標楷體" w:hint="eastAsia"/>
          <w:sz w:val="32"/>
          <w:szCs w:val="32"/>
        </w:rPr>
        <w:t>格式，由</w:t>
      </w:r>
      <w:proofErr w:type="gramStart"/>
      <w:r w:rsidRPr="00CE1B17">
        <w:rPr>
          <w:rFonts w:ascii="標楷體" w:eastAsia="標楷體" w:hAnsi="標楷體" w:hint="eastAsia"/>
          <w:sz w:val="32"/>
          <w:szCs w:val="32"/>
        </w:rPr>
        <w:t>本府定之</w:t>
      </w:r>
      <w:proofErr w:type="gramEnd"/>
      <w:r w:rsidRPr="00CE1B17">
        <w:rPr>
          <w:rFonts w:ascii="標楷體" w:eastAsia="標楷體" w:hAnsi="標楷體" w:hint="eastAsia"/>
          <w:sz w:val="32"/>
          <w:szCs w:val="32"/>
        </w:rPr>
        <w:t>。</w:t>
      </w:r>
    </w:p>
    <w:p w:rsidR="00A45585" w:rsidRPr="00CE1B17" w:rsidRDefault="00A45585" w:rsidP="00503130">
      <w:pPr>
        <w:jc w:val="both"/>
        <w:rPr>
          <w:rFonts w:ascii="標楷體" w:eastAsia="標楷體" w:hAnsi="標楷體"/>
          <w:sz w:val="32"/>
          <w:szCs w:val="32"/>
        </w:rPr>
      </w:pPr>
    </w:p>
    <w:sectPr w:rsidR="00A45585" w:rsidRPr="00CE1B17" w:rsidSect="00592AED">
      <w:pgSz w:w="11906" w:h="16838"/>
      <w:pgMar w:top="1440" w:right="1588" w:bottom="1440" w:left="1588" w:header="851" w:footer="992" w:gutter="0"/>
      <w:pgNumType w:fmt="numberInDash"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B1" w:rsidRDefault="00DB3EB1" w:rsidP="0084123A">
      <w:r>
        <w:separator/>
      </w:r>
    </w:p>
  </w:endnote>
  <w:endnote w:type="continuationSeparator" w:id="0">
    <w:p w:rsidR="00DB3EB1" w:rsidRDefault="00DB3EB1" w:rsidP="0084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B1" w:rsidRDefault="00DB3EB1" w:rsidP="0084123A">
      <w:r>
        <w:separator/>
      </w:r>
    </w:p>
  </w:footnote>
  <w:footnote w:type="continuationSeparator" w:id="0">
    <w:p w:rsidR="00DB3EB1" w:rsidRDefault="00DB3EB1" w:rsidP="00841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C324E"/>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E9047B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69C66A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F4E332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1FAE98B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29D422F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7110F7D0"/>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0E56543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5150F0A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93FEFBEA"/>
    <w:lvl w:ilvl="0">
      <w:start w:val="1"/>
      <w:numFmt w:val="bullet"/>
      <w:lvlText w:val=""/>
      <w:lvlJc w:val="left"/>
      <w:pPr>
        <w:tabs>
          <w:tab w:val="num" w:pos="361"/>
        </w:tabs>
        <w:ind w:left="361" w:hanging="360"/>
      </w:pPr>
      <w:rPr>
        <w:rFonts w:ascii="Wingdings" w:hAnsi="Wingdings" w:hint="default"/>
      </w:rPr>
    </w:lvl>
  </w:abstractNum>
  <w:abstractNum w:abstractNumId="10">
    <w:nsid w:val="05874653"/>
    <w:multiLevelType w:val="hybridMultilevel"/>
    <w:tmpl w:val="8BF4B96C"/>
    <w:lvl w:ilvl="0" w:tplc="5E9C01CE">
      <w:start w:val="1"/>
      <w:numFmt w:val="taiwaneseCountingThousand"/>
      <w:lvlText w:val="%1項、"/>
      <w:lvlJc w:val="left"/>
      <w:pPr>
        <w:ind w:left="1740" w:hanging="1080"/>
      </w:pPr>
      <w:rPr>
        <w:rFonts w:cs="Times New Roman" w:hint="default"/>
      </w:rPr>
    </w:lvl>
    <w:lvl w:ilvl="1" w:tplc="04090019" w:tentative="1">
      <w:start w:val="1"/>
      <w:numFmt w:val="ideographTraditional"/>
      <w:lvlText w:val="%2、"/>
      <w:lvlJc w:val="left"/>
      <w:pPr>
        <w:ind w:left="1620" w:hanging="480"/>
      </w:pPr>
      <w:rPr>
        <w:rFonts w:cs="Times New Roman"/>
      </w:rPr>
    </w:lvl>
    <w:lvl w:ilvl="2" w:tplc="0409001B" w:tentative="1">
      <w:start w:val="1"/>
      <w:numFmt w:val="lowerRoman"/>
      <w:lvlText w:val="%3."/>
      <w:lvlJc w:val="right"/>
      <w:pPr>
        <w:ind w:left="2100" w:hanging="480"/>
      </w:pPr>
      <w:rPr>
        <w:rFonts w:cs="Times New Roman"/>
      </w:rPr>
    </w:lvl>
    <w:lvl w:ilvl="3" w:tplc="0409000F" w:tentative="1">
      <w:start w:val="1"/>
      <w:numFmt w:val="decimal"/>
      <w:lvlText w:val="%4."/>
      <w:lvlJc w:val="left"/>
      <w:pPr>
        <w:ind w:left="2580" w:hanging="480"/>
      </w:pPr>
      <w:rPr>
        <w:rFonts w:cs="Times New Roman"/>
      </w:rPr>
    </w:lvl>
    <w:lvl w:ilvl="4" w:tplc="04090019" w:tentative="1">
      <w:start w:val="1"/>
      <w:numFmt w:val="ideographTraditional"/>
      <w:lvlText w:val="%5、"/>
      <w:lvlJc w:val="left"/>
      <w:pPr>
        <w:ind w:left="3060" w:hanging="480"/>
      </w:pPr>
      <w:rPr>
        <w:rFonts w:cs="Times New Roman"/>
      </w:rPr>
    </w:lvl>
    <w:lvl w:ilvl="5" w:tplc="0409001B" w:tentative="1">
      <w:start w:val="1"/>
      <w:numFmt w:val="lowerRoman"/>
      <w:lvlText w:val="%6."/>
      <w:lvlJc w:val="right"/>
      <w:pPr>
        <w:ind w:left="3540" w:hanging="480"/>
      </w:pPr>
      <w:rPr>
        <w:rFonts w:cs="Times New Roman"/>
      </w:rPr>
    </w:lvl>
    <w:lvl w:ilvl="6" w:tplc="0409000F" w:tentative="1">
      <w:start w:val="1"/>
      <w:numFmt w:val="decimal"/>
      <w:lvlText w:val="%7."/>
      <w:lvlJc w:val="left"/>
      <w:pPr>
        <w:ind w:left="4020" w:hanging="480"/>
      </w:pPr>
      <w:rPr>
        <w:rFonts w:cs="Times New Roman"/>
      </w:rPr>
    </w:lvl>
    <w:lvl w:ilvl="7" w:tplc="04090019" w:tentative="1">
      <w:start w:val="1"/>
      <w:numFmt w:val="ideographTraditional"/>
      <w:lvlText w:val="%8、"/>
      <w:lvlJc w:val="left"/>
      <w:pPr>
        <w:ind w:left="4500" w:hanging="480"/>
      </w:pPr>
      <w:rPr>
        <w:rFonts w:cs="Times New Roman"/>
      </w:rPr>
    </w:lvl>
    <w:lvl w:ilvl="8" w:tplc="0409001B" w:tentative="1">
      <w:start w:val="1"/>
      <w:numFmt w:val="lowerRoman"/>
      <w:lvlText w:val="%9."/>
      <w:lvlJc w:val="right"/>
      <w:pPr>
        <w:ind w:left="4980" w:hanging="480"/>
      </w:pPr>
      <w:rPr>
        <w:rFonts w:cs="Times New Roman"/>
      </w:rPr>
    </w:lvl>
  </w:abstractNum>
  <w:abstractNum w:abstractNumId="11">
    <w:nsid w:val="142A5572"/>
    <w:multiLevelType w:val="hybridMultilevel"/>
    <w:tmpl w:val="177E900A"/>
    <w:lvl w:ilvl="0" w:tplc="FD4AAF8A">
      <w:start w:val="1"/>
      <w:numFmt w:val="taiwaneseCountingThousand"/>
      <w:lvlText w:val="（%1）"/>
      <w:lvlJc w:val="left"/>
      <w:pPr>
        <w:ind w:left="2215" w:hanging="108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12">
    <w:nsid w:val="17140751"/>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nsid w:val="180D7042"/>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1B39046F"/>
    <w:multiLevelType w:val="hybridMultilevel"/>
    <w:tmpl w:val="954ADD5C"/>
    <w:lvl w:ilvl="0" w:tplc="9DC621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0340FF2"/>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nsid w:val="245F0FB9"/>
    <w:multiLevelType w:val="hybridMultilevel"/>
    <w:tmpl w:val="A2843130"/>
    <w:lvl w:ilvl="0" w:tplc="6E52B126">
      <w:start w:val="6"/>
      <w:numFmt w:val="taiwaneseCountingThousand"/>
      <w:lvlText w:val="%1、"/>
      <w:lvlJc w:val="left"/>
      <w:pPr>
        <w:tabs>
          <w:tab w:val="num" w:pos="0"/>
        </w:tabs>
        <w:ind w:left="737" w:hanging="737"/>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56C64C3"/>
    <w:multiLevelType w:val="hybridMultilevel"/>
    <w:tmpl w:val="AFFCCC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E800EAB"/>
    <w:multiLevelType w:val="multilevel"/>
    <w:tmpl w:val="21F06CFA"/>
    <w:lvl w:ilvl="0">
      <w:start w:val="6"/>
      <w:numFmt w:val="taiwaneseCountingThousand"/>
      <w:lvlText w:val="%1、"/>
      <w:lvlJc w:val="right"/>
      <w:pPr>
        <w:tabs>
          <w:tab w:val="num" w:pos="72"/>
        </w:tabs>
        <w:ind w:left="809" w:hanging="449"/>
      </w:pPr>
      <w:rPr>
        <w:rFonts w:cs="Times New Roman" w:hint="default"/>
      </w:rPr>
    </w:lvl>
    <w:lvl w:ilvl="1">
      <w:start w:val="1"/>
      <w:numFmt w:val="ideographTraditional"/>
      <w:lvlText w:val="%2、"/>
      <w:lvlJc w:val="left"/>
      <w:pPr>
        <w:tabs>
          <w:tab w:val="num" w:pos="1032"/>
        </w:tabs>
        <w:ind w:left="1032" w:hanging="480"/>
      </w:pPr>
      <w:rPr>
        <w:rFonts w:cs="Times New Roman"/>
      </w:rPr>
    </w:lvl>
    <w:lvl w:ilvl="2">
      <w:start w:val="1"/>
      <w:numFmt w:val="lowerRoman"/>
      <w:lvlText w:val="%3."/>
      <w:lvlJc w:val="right"/>
      <w:pPr>
        <w:tabs>
          <w:tab w:val="num" w:pos="1512"/>
        </w:tabs>
        <w:ind w:left="1512" w:hanging="480"/>
      </w:pPr>
      <w:rPr>
        <w:rFonts w:cs="Times New Roman"/>
      </w:rPr>
    </w:lvl>
    <w:lvl w:ilvl="3">
      <w:start w:val="1"/>
      <w:numFmt w:val="decimal"/>
      <w:lvlText w:val="%4."/>
      <w:lvlJc w:val="left"/>
      <w:pPr>
        <w:tabs>
          <w:tab w:val="num" w:pos="1992"/>
        </w:tabs>
        <w:ind w:left="1992" w:hanging="480"/>
      </w:pPr>
      <w:rPr>
        <w:rFonts w:cs="Times New Roman"/>
      </w:rPr>
    </w:lvl>
    <w:lvl w:ilvl="4">
      <w:start w:val="1"/>
      <w:numFmt w:val="ideographTraditional"/>
      <w:lvlText w:val="%5、"/>
      <w:lvlJc w:val="left"/>
      <w:pPr>
        <w:tabs>
          <w:tab w:val="num" w:pos="2472"/>
        </w:tabs>
        <w:ind w:left="2472" w:hanging="480"/>
      </w:pPr>
      <w:rPr>
        <w:rFonts w:cs="Times New Roman"/>
      </w:rPr>
    </w:lvl>
    <w:lvl w:ilvl="5">
      <w:start w:val="1"/>
      <w:numFmt w:val="lowerRoman"/>
      <w:lvlText w:val="%6."/>
      <w:lvlJc w:val="right"/>
      <w:pPr>
        <w:tabs>
          <w:tab w:val="num" w:pos="2952"/>
        </w:tabs>
        <w:ind w:left="2952" w:hanging="480"/>
      </w:pPr>
      <w:rPr>
        <w:rFonts w:cs="Times New Roman"/>
      </w:rPr>
    </w:lvl>
    <w:lvl w:ilvl="6">
      <w:start w:val="1"/>
      <w:numFmt w:val="decimal"/>
      <w:lvlText w:val="%7."/>
      <w:lvlJc w:val="left"/>
      <w:pPr>
        <w:tabs>
          <w:tab w:val="num" w:pos="3432"/>
        </w:tabs>
        <w:ind w:left="3432" w:hanging="480"/>
      </w:pPr>
      <w:rPr>
        <w:rFonts w:cs="Times New Roman"/>
      </w:rPr>
    </w:lvl>
    <w:lvl w:ilvl="7">
      <w:start w:val="1"/>
      <w:numFmt w:val="ideographTraditional"/>
      <w:lvlText w:val="%8、"/>
      <w:lvlJc w:val="left"/>
      <w:pPr>
        <w:tabs>
          <w:tab w:val="num" w:pos="3912"/>
        </w:tabs>
        <w:ind w:left="3912" w:hanging="480"/>
      </w:pPr>
      <w:rPr>
        <w:rFonts w:cs="Times New Roman"/>
      </w:rPr>
    </w:lvl>
    <w:lvl w:ilvl="8">
      <w:start w:val="1"/>
      <w:numFmt w:val="lowerRoman"/>
      <w:lvlText w:val="%9."/>
      <w:lvlJc w:val="right"/>
      <w:pPr>
        <w:tabs>
          <w:tab w:val="num" w:pos="4392"/>
        </w:tabs>
        <w:ind w:left="4392" w:hanging="480"/>
      </w:pPr>
      <w:rPr>
        <w:rFonts w:cs="Times New Roman"/>
      </w:rPr>
    </w:lvl>
  </w:abstractNum>
  <w:abstractNum w:abstractNumId="19">
    <w:nsid w:val="36884787"/>
    <w:multiLevelType w:val="multilevel"/>
    <w:tmpl w:val="3ABE1E4A"/>
    <w:lvl w:ilvl="0">
      <w:start w:val="6"/>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3C524876"/>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nsid w:val="5638767B"/>
    <w:multiLevelType w:val="hybridMultilevel"/>
    <w:tmpl w:val="5A5C14B4"/>
    <w:lvl w:ilvl="0" w:tplc="FE7450FC">
      <w:start w:val="6"/>
      <w:numFmt w:val="taiwaneseCountingThousand"/>
      <w:lvlText w:val="%1、"/>
      <w:lvlJc w:val="right"/>
      <w:pPr>
        <w:tabs>
          <w:tab w:val="num" w:pos="72"/>
        </w:tabs>
        <w:ind w:left="809" w:hanging="449"/>
      </w:pPr>
      <w:rPr>
        <w:rFonts w:cs="Times New Roman" w:hint="default"/>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22">
    <w:nsid w:val="56FF2DD9"/>
    <w:multiLevelType w:val="hybridMultilevel"/>
    <w:tmpl w:val="B2062DF2"/>
    <w:lvl w:ilvl="0" w:tplc="BB682882">
      <w:start w:val="1"/>
      <w:numFmt w:val="taiwaneseCountingThousand"/>
      <w:lvlText w:val="%1、"/>
      <w:lvlJc w:val="right"/>
      <w:pPr>
        <w:tabs>
          <w:tab w:val="num" w:pos="3965"/>
        </w:tabs>
        <w:ind w:left="4702" w:hanging="449"/>
      </w:pPr>
      <w:rPr>
        <w:rFonts w:cs="Times New Roman" w:hint="default"/>
      </w:rPr>
    </w:lvl>
    <w:lvl w:ilvl="1" w:tplc="04090019">
      <w:start w:val="1"/>
      <w:numFmt w:val="ideographTraditional"/>
      <w:lvlText w:val="%2、"/>
      <w:lvlJc w:val="left"/>
      <w:pPr>
        <w:tabs>
          <w:tab w:val="num" w:pos="7194"/>
        </w:tabs>
        <w:ind w:left="7194" w:hanging="480"/>
      </w:pPr>
      <w:rPr>
        <w:rFonts w:cs="Times New Roman"/>
      </w:rPr>
    </w:lvl>
    <w:lvl w:ilvl="2" w:tplc="0409001B">
      <w:start w:val="1"/>
      <w:numFmt w:val="lowerRoman"/>
      <w:lvlText w:val="%3."/>
      <w:lvlJc w:val="right"/>
      <w:pPr>
        <w:tabs>
          <w:tab w:val="num" w:pos="7674"/>
        </w:tabs>
        <w:ind w:left="7674" w:hanging="480"/>
      </w:pPr>
      <w:rPr>
        <w:rFonts w:cs="Times New Roman"/>
      </w:rPr>
    </w:lvl>
    <w:lvl w:ilvl="3" w:tplc="0409000F" w:tentative="1">
      <w:start w:val="1"/>
      <w:numFmt w:val="decimal"/>
      <w:lvlText w:val="%4."/>
      <w:lvlJc w:val="left"/>
      <w:pPr>
        <w:tabs>
          <w:tab w:val="num" w:pos="8154"/>
        </w:tabs>
        <w:ind w:left="8154" w:hanging="480"/>
      </w:pPr>
      <w:rPr>
        <w:rFonts w:cs="Times New Roman"/>
      </w:rPr>
    </w:lvl>
    <w:lvl w:ilvl="4" w:tplc="04090019" w:tentative="1">
      <w:start w:val="1"/>
      <w:numFmt w:val="ideographTraditional"/>
      <w:lvlText w:val="%5、"/>
      <w:lvlJc w:val="left"/>
      <w:pPr>
        <w:tabs>
          <w:tab w:val="num" w:pos="8634"/>
        </w:tabs>
        <w:ind w:left="8634" w:hanging="480"/>
      </w:pPr>
      <w:rPr>
        <w:rFonts w:cs="Times New Roman"/>
      </w:rPr>
    </w:lvl>
    <w:lvl w:ilvl="5" w:tplc="0409001B" w:tentative="1">
      <w:start w:val="1"/>
      <w:numFmt w:val="lowerRoman"/>
      <w:lvlText w:val="%6."/>
      <w:lvlJc w:val="right"/>
      <w:pPr>
        <w:tabs>
          <w:tab w:val="num" w:pos="9114"/>
        </w:tabs>
        <w:ind w:left="9114" w:hanging="480"/>
      </w:pPr>
      <w:rPr>
        <w:rFonts w:cs="Times New Roman"/>
      </w:rPr>
    </w:lvl>
    <w:lvl w:ilvl="6" w:tplc="0409000F" w:tentative="1">
      <w:start w:val="1"/>
      <w:numFmt w:val="decimal"/>
      <w:lvlText w:val="%7."/>
      <w:lvlJc w:val="left"/>
      <w:pPr>
        <w:tabs>
          <w:tab w:val="num" w:pos="9594"/>
        </w:tabs>
        <w:ind w:left="9594" w:hanging="480"/>
      </w:pPr>
      <w:rPr>
        <w:rFonts w:cs="Times New Roman"/>
      </w:rPr>
    </w:lvl>
    <w:lvl w:ilvl="7" w:tplc="04090019" w:tentative="1">
      <w:start w:val="1"/>
      <w:numFmt w:val="ideographTraditional"/>
      <w:lvlText w:val="%8、"/>
      <w:lvlJc w:val="left"/>
      <w:pPr>
        <w:tabs>
          <w:tab w:val="num" w:pos="10074"/>
        </w:tabs>
        <w:ind w:left="10074" w:hanging="480"/>
      </w:pPr>
      <w:rPr>
        <w:rFonts w:cs="Times New Roman"/>
      </w:rPr>
    </w:lvl>
    <w:lvl w:ilvl="8" w:tplc="0409001B" w:tentative="1">
      <w:start w:val="1"/>
      <w:numFmt w:val="lowerRoman"/>
      <w:lvlText w:val="%9."/>
      <w:lvlJc w:val="right"/>
      <w:pPr>
        <w:tabs>
          <w:tab w:val="num" w:pos="10554"/>
        </w:tabs>
        <w:ind w:left="10554" w:hanging="480"/>
      </w:pPr>
      <w:rPr>
        <w:rFonts w:cs="Times New Roman"/>
      </w:rPr>
    </w:lvl>
  </w:abstractNum>
  <w:abstractNum w:abstractNumId="23">
    <w:nsid w:val="579D660E"/>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
    <w:nsid w:val="603C1D2A"/>
    <w:multiLevelType w:val="hybridMultilevel"/>
    <w:tmpl w:val="1B749A52"/>
    <w:lvl w:ilvl="0" w:tplc="FE7450FC">
      <w:start w:val="6"/>
      <w:numFmt w:val="taiwaneseCountingThousand"/>
      <w:lvlText w:val="%1、"/>
      <w:lvlJc w:val="right"/>
      <w:pPr>
        <w:tabs>
          <w:tab w:val="num" w:pos="72"/>
        </w:tabs>
        <w:ind w:left="809" w:hanging="449"/>
      </w:pPr>
      <w:rPr>
        <w:rFonts w:cs="Times New Roman" w:hint="default"/>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25">
    <w:nsid w:val="69495C5F"/>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6C3F7A89"/>
    <w:multiLevelType w:val="multilevel"/>
    <w:tmpl w:val="954ADD5C"/>
    <w:lvl w:ilvl="0">
      <w:start w:val="1"/>
      <w:numFmt w:val="taiwaneseCountingThousand"/>
      <w:lvlText w:val="%1、"/>
      <w:lvlJc w:val="left"/>
      <w:pPr>
        <w:ind w:left="720" w:hanging="72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4"/>
  </w:num>
  <w:num w:numId="2">
    <w:abstractNumId w:val="10"/>
  </w:num>
  <w:num w:numId="3">
    <w:abstractNumId w:val="11"/>
  </w:num>
  <w:num w:numId="4">
    <w:abstractNumId w:val="17"/>
  </w:num>
  <w:num w:numId="5">
    <w:abstractNumId w:val="16"/>
  </w:num>
  <w:num w:numId="6">
    <w:abstractNumId w:val="19"/>
  </w:num>
  <w:num w:numId="7">
    <w:abstractNumId w:val="25"/>
  </w:num>
  <w:num w:numId="8">
    <w:abstractNumId w:val="23"/>
  </w:num>
  <w:num w:numId="9">
    <w:abstractNumId w:val="12"/>
  </w:num>
  <w:num w:numId="10">
    <w:abstractNumId w:val="26"/>
  </w:num>
  <w:num w:numId="11">
    <w:abstractNumId w:val="13"/>
  </w:num>
  <w:num w:numId="12">
    <w:abstractNumId w:val="20"/>
  </w:num>
  <w:num w:numId="13">
    <w:abstractNumId w:val="15"/>
  </w:num>
  <w:num w:numId="14">
    <w:abstractNumId w:val="24"/>
  </w:num>
  <w:num w:numId="15">
    <w:abstractNumId w:val="21"/>
  </w:num>
  <w:num w:numId="16">
    <w:abstractNumId w:val="22"/>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30"/>
    <w:rsid w:val="00142606"/>
    <w:rsid w:val="001643A8"/>
    <w:rsid w:val="00165A91"/>
    <w:rsid w:val="00167DE1"/>
    <w:rsid w:val="002377A9"/>
    <w:rsid w:val="00337377"/>
    <w:rsid w:val="003431CD"/>
    <w:rsid w:val="00355413"/>
    <w:rsid w:val="00375A79"/>
    <w:rsid w:val="003F15D8"/>
    <w:rsid w:val="00400F43"/>
    <w:rsid w:val="00452671"/>
    <w:rsid w:val="004652AC"/>
    <w:rsid w:val="00473CC5"/>
    <w:rsid w:val="004C6DA1"/>
    <w:rsid w:val="00503130"/>
    <w:rsid w:val="00511B4C"/>
    <w:rsid w:val="00530488"/>
    <w:rsid w:val="00557C16"/>
    <w:rsid w:val="00587FD3"/>
    <w:rsid w:val="00592AED"/>
    <w:rsid w:val="005A7027"/>
    <w:rsid w:val="0062235F"/>
    <w:rsid w:val="0072377A"/>
    <w:rsid w:val="007A20CC"/>
    <w:rsid w:val="007E2743"/>
    <w:rsid w:val="007F1E27"/>
    <w:rsid w:val="0084123A"/>
    <w:rsid w:val="00842E69"/>
    <w:rsid w:val="008B1983"/>
    <w:rsid w:val="008B6EB0"/>
    <w:rsid w:val="008C3033"/>
    <w:rsid w:val="008D0181"/>
    <w:rsid w:val="008D7C65"/>
    <w:rsid w:val="009442B9"/>
    <w:rsid w:val="00947F61"/>
    <w:rsid w:val="009D4414"/>
    <w:rsid w:val="00A129EC"/>
    <w:rsid w:val="00A349AA"/>
    <w:rsid w:val="00A45585"/>
    <w:rsid w:val="00A525E5"/>
    <w:rsid w:val="00B55726"/>
    <w:rsid w:val="00BA1FD3"/>
    <w:rsid w:val="00C110A5"/>
    <w:rsid w:val="00C13EC9"/>
    <w:rsid w:val="00C64255"/>
    <w:rsid w:val="00C75DD6"/>
    <w:rsid w:val="00C96F56"/>
    <w:rsid w:val="00CA3B45"/>
    <w:rsid w:val="00CE1B17"/>
    <w:rsid w:val="00D24B9D"/>
    <w:rsid w:val="00D4502A"/>
    <w:rsid w:val="00D7105B"/>
    <w:rsid w:val="00DB3EB1"/>
    <w:rsid w:val="00DB6B1C"/>
    <w:rsid w:val="00DF3E3F"/>
    <w:rsid w:val="00E22273"/>
    <w:rsid w:val="00E83F30"/>
    <w:rsid w:val="00EA2B3C"/>
    <w:rsid w:val="00EA7AB3"/>
    <w:rsid w:val="00FD5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027"/>
    <w:pPr>
      <w:ind w:left="480"/>
    </w:pPr>
  </w:style>
  <w:style w:type="paragraph" w:styleId="a4">
    <w:name w:val="Balloon Text"/>
    <w:basedOn w:val="a"/>
    <w:link w:val="a5"/>
    <w:uiPriority w:val="99"/>
    <w:semiHidden/>
    <w:rsid w:val="00DB6B1C"/>
    <w:rPr>
      <w:rFonts w:ascii="Cambria" w:hAnsi="Cambria"/>
      <w:sz w:val="18"/>
      <w:szCs w:val="18"/>
    </w:rPr>
  </w:style>
  <w:style w:type="character" w:customStyle="1" w:styleId="a5">
    <w:name w:val="註解方塊文字 字元"/>
    <w:basedOn w:val="a0"/>
    <w:link w:val="a4"/>
    <w:uiPriority w:val="99"/>
    <w:semiHidden/>
    <w:locked/>
    <w:rsid w:val="00DB6B1C"/>
    <w:rPr>
      <w:rFonts w:ascii="Cambria" w:eastAsia="新細明體" w:hAnsi="Cambria" w:cs="Times New Roman"/>
      <w:sz w:val="18"/>
      <w:szCs w:val="18"/>
    </w:rPr>
  </w:style>
  <w:style w:type="paragraph" w:styleId="a6">
    <w:name w:val="header"/>
    <w:basedOn w:val="a"/>
    <w:link w:val="a7"/>
    <w:uiPriority w:val="99"/>
    <w:unhideWhenUsed/>
    <w:rsid w:val="0084123A"/>
    <w:pPr>
      <w:tabs>
        <w:tab w:val="center" w:pos="4153"/>
        <w:tab w:val="right" w:pos="8306"/>
      </w:tabs>
      <w:snapToGrid w:val="0"/>
    </w:pPr>
    <w:rPr>
      <w:sz w:val="20"/>
      <w:szCs w:val="20"/>
    </w:rPr>
  </w:style>
  <w:style w:type="character" w:customStyle="1" w:styleId="a7">
    <w:name w:val="頁首 字元"/>
    <w:basedOn w:val="a0"/>
    <w:link w:val="a6"/>
    <w:uiPriority w:val="99"/>
    <w:rsid w:val="0084123A"/>
    <w:rPr>
      <w:sz w:val="20"/>
      <w:szCs w:val="20"/>
    </w:rPr>
  </w:style>
  <w:style w:type="paragraph" w:styleId="a8">
    <w:name w:val="footer"/>
    <w:basedOn w:val="a"/>
    <w:link w:val="a9"/>
    <w:uiPriority w:val="99"/>
    <w:unhideWhenUsed/>
    <w:rsid w:val="0084123A"/>
    <w:pPr>
      <w:tabs>
        <w:tab w:val="center" w:pos="4153"/>
        <w:tab w:val="right" w:pos="8306"/>
      </w:tabs>
      <w:snapToGrid w:val="0"/>
    </w:pPr>
    <w:rPr>
      <w:sz w:val="20"/>
      <w:szCs w:val="20"/>
    </w:rPr>
  </w:style>
  <w:style w:type="character" w:customStyle="1" w:styleId="a9">
    <w:name w:val="頁尾 字元"/>
    <w:basedOn w:val="a0"/>
    <w:link w:val="a8"/>
    <w:uiPriority w:val="99"/>
    <w:rsid w:val="0084123A"/>
    <w:rPr>
      <w:sz w:val="20"/>
      <w:szCs w:val="20"/>
    </w:rPr>
  </w:style>
  <w:style w:type="paragraph" w:styleId="aa">
    <w:name w:val="No Spacing"/>
    <w:link w:val="ab"/>
    <w:uiPriority w:val="1"/>
    <w:qFormat/>
    <w:rsid w:val="00473CC5"/>
    <w:rPr>
      <w:rFonts w:asciiTheme="minorHAnsi" w:eastAsiaTheme="minorEastAsia" w:hAnsiTheme="minorHAnsi" w:cstheme="minorBidi"/>
      <w:kern w:val="0"/>
      <w:sz w:val="22"/>
    </w:rPr>
  </w:style>
  <w:style w:type="character" w:customStyle="1" w:styleId="ab">
    <w:name w:val="無間距 字元"/>
    <w:basedOn w:val="a0"/>
    <w:link w:val="aa"/>
    <w:uiPriority w:val="1"/>
    <w:rsid w:val="00473CC5"/>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9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027"/>
    <w:pPr>
      <w:ind w:left="480"/>
    </w:pPr>
  </w:style>
  <w:style w:type="paragraph" w:styleId="a4">
    <w:name w:val="Balloon Text"/>
    <w:basedOn w:val="a"/>
    <w:link w:val="a5"/>
    <w:uiPriority w:val="99"/>
    <w:semiHidden/>
    <w:rsid w:val="00DB6B1C"/>
    <w:rPr>
      <w:rFonts w:ascii="Cambria" w:hAnsi="Cambria"/>
      <w:sz w:val="18"/>
      <w:szCs w:val="18"/>
    </w:rPr>
  </w:style>
  <w:style w:type="character" w:customStyle="1" w:styleId="a5">
    <w:name w:val="註解方塊文字 字元"/>
    <w:basedOn w:val="a0"/>
    <w:link w:val="a4"/>
    <w:uiPriority w:val="99"/>
    <w:semiHidden/>
    <w:locked/>
    <w:rsid w:val="00DB6B1C"/>
    <w:rPr>
      <w:rFonts w:ascii="Cambria" w:eastAsia="新細明體" w:hAnsi="Cambria" w:cs="Times New Roman"/>
      <w:sz w:val="18"/>
      <w:szCs w:val="18"/>
    </w:rPr>
  </w:style>
  <w:style w:type="paragraph" w:styleId="a6">
    <w:name w:val="header"/>
    <w:basedOn w:val="a"/>
    <w:link w:val="a7"/>
    <w:uiPriority w:val="99"/>
    <w:unhideWhenUsed/>
    <w:rsid w:val="0084123A"/>
    <w:pPr>
      <w:tabs>
        <w:tab w:val="center" w:pos="4153"/>
        <w:tab w:val="right" w:pos="8306"/>
      </w:tabs>
      <w:snapToGrid w:val="0"/>
    </w:pPr>
    <w:rPr>
      <w:sz w:val="20"/>
      <w:szCs w:val="20"/>
    </w:rPr>
  </w:style>
  <w:style w:type="character" w:customStyle="1" w:styleId="a7">
    <w:name w:val="頁首 字元"/>
    <w:basedOn w:val="a0"/>
    <w:link w:val="a6"/>
    <w:uiPriority w:val="99"/>
    <w:rsid w:val="0084123A"/>
    <w:rPr>
      <w:sz w:val="20"/>
      <w:szCs w:val="20"/>
    </w:rPr>
  </w:style>
  <w:style w:type="paragraph" w:styleId="a8">
    <w:name w:val="footer"/>
    <w:basedOn w:val="a"/>
    <w:link w:val="a9"/>
    <w:uiPriority w:val="99"/>
    <w:unhideWhenUsed/>
    <w:rsid w:val="0084123A"/>
    <w:pPr>
      <w:tabs>
        <w:tab w:val="center" w:pos="4153"/>
        <w:tab w:val="right" w:pos="8306"/>
      </w:tabs>
      <w:snapToGrid w:val="0"/>
    </w:pPr>
    <w:rPr>
      <w:sz w:val="20"/>
      <w:szCs w:val="20"/>
    </w:rPr>
  </w:style>
  <w:style w:type="character" w:customStyle="1" w:styleId="a9">
    <w:name w:val="頁尾 字元"/>
    <w:basedOn w:val="a0"/>
    <w:link w:val="a8"/>
    <w:uiPriority w:val="99"/>
    <w:rsid w:val="0084123A"/>
    <w:rPr>
      <w:sz w:val="20"/>
      <w:szCs w:val="20"/>
    </w:rPr>
  </w:style>
  <w:style w:type="paragraph" w:styleId="aa">
    <w:name w:val="No Spacing"/>
    <w:link w:val="ab"/>
    <w:uiPriority w:val="1"/>
    <w:qFormat/>
    <w:rsid w:val="00473CC5"/>
    <w:rPr>
      <w:rFonts w:asciiTheme="minorHAnsi" w:eastAsiaTheme="minorEastAsia" w:hAnsiTheme="minorHAnsi" w:cstheme="minorBidi"/>
      <w:kern w:val="0"/>
      <w:sz w:val="22"/>
    </w:rPr>
  </w:style>
  <w:style w:type="character" w:customStyle="1" w:styleId="ab">
    <w:name w:val="無間距 字元"/>
    <w:basedOn w:val="a0"/>
    <w:link w:val="aa"/>
    <w:uiPriority w:val="1"/>
    <w:rsid w:val="00473CC5"/>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桃園市各級耕地租佃委員會調解調處耕地租佃爭議須知</dc:title>
  <dc:creator>陳奕潔</dc:creator>
  <cp:lastModifiedBy>陳奕潔</cp:lastModifiedBy>
  <cp:revision>22</cp:revision>
  <cp:lastPrinted>2016-04-16T02:26:00Z</cp:lastPrinted>
  <dcterms:created xsi:type="dcterms:W3CDTF">2016-03-29T08:34:00Z</dcterms:created>
  <dcterms:modified xsi:type="dcterms:W3CDTF">2016-04-18T00:37:00Z</dcterms:modified>
</cp:coreProperties>
</file>