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BF" w:rsidRPr="008232BF" w:rsidRDefault="008232BF" w:rsidP="008232BF">
      <w:pPr>
        <w:widowControl/>
        <w:pBdr>
          <w:left w:val="single" w:sz="18" w:space="8" w:color="048800"/>
        </w:pBdr>
        <w:shd w:val="clear" w:color="auto" w:fill="FFFFFF"/>
        <w:spacing w:line="690" w:lineRule="atLeast"/>
        <w:textAlignment w:val="center"/>
        <w:outlineLvl w:val="1"/>
        <w:rPr>
          <w:rFonts w:ascii="inherit" w:eastAsia="新細明體" w:hAnsi="inherit" w:cs="Arial"/>
          <w:color w:val="3D4245"/>
          <w:spacing w:val="18"/>
          <w:kern w:val="0"/>
          <w:sz w:val="36"/>
          <w:szCs w:val="36"/>
        </w:rPr>
      </w:pPr>
      <w:r w:rsidRPr="008232BF">
        <w:rPr>
          <w:rFonts w:ascii="inherit" w:eastAsia="新細明體" w:hAnsi="inherit" w:cs="Arial"/>
          <w:color w:val="3D4245"/>
          <w:spacing w:val="18"/>
          <w:kern w:val="0"/>
          <w:sz w:val="36"/>
          <w:szCs w:val="36"/>
        </w:rPr>
        <w:t>麻疹</w:t>
      </w:r>
      <w:r w:rsidRPr="008232BF">
        <w:rPr>
          <w:rFonts w:ascii="inherit" w:eastAsia="新細明體" w:hAnsi="inherit" w:cs="Arial"/>
          <w:color w:val="3D4245"/>
          <w:spacing w:val="18"/>
          <w:kern w:val="0"/>
          <w:sz w:val="36"/>
          <w:szCs w:val="36"/>
        </w:rPr>
        <w:t>Q&amp;A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"collapse4543"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麻疹是甚麼？</w:t>
      </w:r>
    </w:p>
    <w:p w:rsidR="00502006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 w:hint="eastAsia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麻疹是由感染麻疹病毒（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Measles virus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）引起的急性呼吸道傳染病。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"collapse4541"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麻疹的症狀為何？</w:t>
      </w:r>
    </w:p>
    <w:p w:rsidR="00502006" w:rsidRPr="00502006" w:rsidRDefault="008232BF" w:rsidP="00502006">
      <w:pPr>
        <w:widowControl/>
        <w:shd w:val="clear" w:color="auto" w:fill="F5F5F5"/>
        <w:jc w:val="both"/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  <w:r w:rsidR="00502006"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麻疹的初期症狀與感冒很像，前驅症狀包括發燒、鼻炎、結膜炎（畏光、流眼淚、眼睛發紅）、咳嗽等。</w:t>
      </w:r>
    </w:p>
    <w:p w:rsidR="00502006" w:rsidRPr="008232BF" w:rsidRDefault="00502006" w:rsidP="00502006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在前驅症狀</w:t>
      </w:r>
      <w:r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3</w:t>
      </w:r>
      <w:r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到</w:t>
      </w:r>
      <w:r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4</w:t>
      </w:r>
      <w:r w:rsidRPr="00502006">
        <w:rPr>
          <w:rFonts w:ascii="Arial" w:eastAsia="新細明體" w:hAnsi="Arial" w:cs="Arial" w:hint="eastAsia"/>
          <w:color w:val="666666"/>
          <w:spacing w:val="12"/>
          <w:kern w:val="0"/>
          <w:szCs w:val="24"/>
        </w:rPr>
        <w:t>天後會出現紅疹。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臨床上少數個案也可能沒有出疹或出疹型態不典型。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"collapse4540"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麻疹的傳染途徑為何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?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麻疹的傳染力很強，可經由空氣、飛沫傳播或接觸病人鼻咽分泌物而感染。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"collapse4539"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麻疹的潛伏期為何？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自感染麻疹病毒開始至</w:t>
      </w:r>
      <w:proofErr w:type="gramStart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出疹約</w:t>
      </w:r>
      <w:proofErr w:type="gramEnd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7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到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18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天，平均約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14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天左右。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"collapse4538"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感染麻疹後，傳染力可以持續多久？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一般來說，麻疹病人在出疹的前、後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4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天內都具有傳染力。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如果沒有出疹，則從發燒前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天到退燒後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3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天為可傳染期，</w:t>
      </w:r>
      <w:proofErr w:type="gramStart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匡列麻疹</w:t>
      </w:r>
      <w:proofErr w:type="gramEnd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個案接觸者時也是依此原則。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"collapse5044"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與麻疹確診患者接觸後，是否需施行自我隔離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?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麻疹個案之接觸者於自主健康管理</w:t>
      </w:r>
      <w:proofErr w:type="gramStart"/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期間（</w:t>
      </w:r>
      <w:proofErr w:type="gramEnd"/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與麻疹病例最後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次接觸日起往後推算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18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天內），應每日早晚各量體溫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次，並詳實記錄體溫、活動史及是否出現疑似症狀，如果沒有任何不適或未出現疑似症狀如發燒、出疹、咳嗽、鼻炎、結膜炎等，仍可正常生活，但應避免出入公共場所，並儘量佩戴口罩。接觸者如在自主健康管理期間出現疑似症狀，則應進行自我隔離，並電話通知衛生單位，由衛生單位安排就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lastRenderedPageBreak/>
        <w:t>醫，預先規劃好動線，避免接觸到其他等候看診的人。就醫時並請主動出示</w:t>
      </w:r>
      <w:proofErr w:type="gramStart"/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健康健</w:t>
      </w:r>
      <w:proofErr w:type="gramEnd"/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t>側通知書及全程佩戴口罩。</w: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br/>
        <w:t> 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"collapse4537"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沒有與麻疹病人直接接觸，也會感染麻疹嗎？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病人散佈於空氣中的麻疹病毒，在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個小時內仍有傳染力，因此，在麻疹病例之可傳染</w:t>
      </w:r>
      <w:proofErr w:type="gramStart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期間，</w:t>
      </w:r>
      <w:proofErr w:type="gramEnd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若曾與其同處在一個封閉空間，無論時間長短，都算與個案有接觸，而可能被感染。即使病人已離開，該空間在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個小時內都可能還存有麻疹病毒，如果沒有麻疹免疫力的人進入這個空間，就有可能感染。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"collapse4536"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甚麼人可能感染麻疹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(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易感族群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)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、得過麻疹的人，具有終身免疫力。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、不曾得過麻疹或不曾接種麻疹疫苗的人，都可能感染麻疹。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3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、「出生滿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個月」及「滿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5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歲至入國小前」各接種一劑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疫苗者可產生抗體。但研究顯示，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1981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年以後出生的成人，幼時接種疫苗所產生的抗體，有可能已隨時間而衰退，致使保護力降低。</w:t>
      </w:r>
    </w:p>
    <w:p w:rsidR="008232BF" w:rsidRPr="008232BF" w:rsidRDefault="008232BF" w:rsidP="008232BF">
      <w:pPr>
        <w:widowControl/>
        <w:shd w:val="clear" w:color="auto" w:fill="FFFFFF"/>
        <w:jc w:val="right"/>
        <w:rPr>
          <w:rFonts w:ascii="Arial" w:eastAsia="新細明體" w:hAnsi="Arial" w:cs="Arial"/>
          <w:color w:val="048800"/>
          <w:spacing w:val="18"/>
          <w:kern w:val="0"/>
          <w:sz w:val="22"/>
        </w:rPr>
      </w:pP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"collapse4535"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出現疑似麻疹症狀，該怎麼辦？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出現疑似麻疹症狀時，應儘速戴口罩就醫，避免搭乘大眾運輸工具。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若已被衛生單位通知是麻疹病例的接觸者，應落實自主健康管理，出現上述症狀時，應進行自我隔離並電話通知衛生機關，由衛生機關會通知醫院預先規劃動線，再且全程戴口罩並避免搭乘大眾運輸工具，以免傳染給其他候診的病人及家屬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"collapse4534" </w:instrText>
      </w: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如何預防麻疹感染？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lastRenderedPageBreak/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、接種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疫苗為最有效的預防方式，政府公費提供「出生滿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個月」及「滿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5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歲至入國小前」各接種一劑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疫苗，請家長按時攜帶幼兒前往衛生所或合約院所接種。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、避免帶未滿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歲或未接種疫苗的嬰幼兒至流行地區，如須帶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6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個月以上未滿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歲的嬰兒前往，出發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proofErr w:type="gramStart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週</w:t>
      </w:r>
      <w:proofErr w:type="gramEnd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前可至衛生所自費接種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劑疫苗。一般民眾赴流行地區前可先至旅遊醫學門診評估接種需求。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3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、應儘量避免出入人潮擁擠之公共場所，擔心被感染的易感族群可戴口罩，並勤洗手，避免以手碰觸口鼻等黏膜處。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b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"collapse4533" </w:instrText>
      </w: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甚麼人不能接種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疫苗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 xml:space="preserve">? 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女性哺乳期間是否可接種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疫苗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?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</w:t>
      </w:r>
      <w:proofErr w:type="gramStart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已知對</w:t>
      </w:r>
      <w:proofErr w:type="gramEnd"/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「蛋」之蛋白質或疫苗的成份有嚴重過敏者。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、孕婦。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3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、已知患有嚴重免疫缺失者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 xml:space="preserve"> (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包括嚴重免疫不全的愛滋病毒陽性個案、先天性免疫缺失症與白血病、淋巴癌等惡性腫瘤病人或接受化療、免疫抑制藥物治療及高劑量類固醇者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 xml:space="preserve">) 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。</w:t>
      </w:r>
    </w:p>
    <w:p w:rsidR="008232BF" w:rsidRPr="008232BF" w:rsidRDefault="008232BF" w:rsidP="008232BF">
      <w:pPr>
        <w:widowControl/>
        <w:shd w:val="clear" w:color="auto" w:fill="FFFFFF"/>
        <w:spacing w:after="150"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哺乳非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疫苗接種禁忌，哺乳期間仍可接種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2"/>
          <w:kern w:val="0"/>
          <w:szCs w:val="24"/>
        </w:rPr>
        <w:t>疫苗。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"collapse4846"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為何建議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1981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年後出生之成人在前往麻疹流行地區前諮詢醫師自費接種一劑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疫苗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?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國內有研究顯示，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1981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年以後出生的成人，與其他成年世代比較，麻疹抗體盛行率較低，可能因為他們是接種疫苗的世代，幼時接種疫苗所產生的抗體，隨時間而衰退，因此，依傳染病防治諮詢會預防接種建議，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 xml:space="preserve"> 1981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年以後出生的成人，如前往麻疹流行地區，考量前往該等地區可能感染風險，建議可諮詢醫師自費接種一劑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疫苗，再行前往。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"collapse4845"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若一般院所有自購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疫苗，是否可替滿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6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個月未滿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1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歲欲前往麻疹或德國麻疹流行地區之幼兒，先自費接種一劑？若可，則</w:t>
      </w:r>
      <w:proofErr w:type="gramStart"/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該劑</w:t>
      </w:r>
      <w:proofErr w:type="gramEnd"/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次是否可於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NIIS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系統上備註為第一劑，而滿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12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個月為第二劑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…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以此類推？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lastRenderedPageBreak/>
        <w:t>1.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如醫療院所有提供自費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疫苗，可由醫師評估後替幼童自費接種。另外目前各衛生所也提供欲前往麻疹或德國麻疹流行地區針對滿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6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個月未滿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歲之幼兒自費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疫苗接種服務。</w:t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2.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針對該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疫苗自費接種對象，接種單位應</w:t>
      </w:r>
      <w:proofErr w:type="gramStart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於黃卡與</w:t>
      </w:r>
      <w:proofErr w:type="gramEnd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資訊系統登入疫苗代碼「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MMR0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」，幼兒於出生滿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12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個月後仍須按時程完成常規兩劑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疫苗接種。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新細明體" w:eastAsia="新細明體" w:hAnsi="新細明體" w:cs="新細明體"/>
          <w:color w:val="3F6347"/>
          <w:kern w:val="0"/>
          <w:szCs w:val="24"/>
          <w:bdr w:val="none" w:sz="0" w:space="0" w:color="auto" w:frame="1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begin"/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instrText xml:space="preserve"> HYPERLINK "https://www.cdc.gov.tw/Category/QAPage/YYqeuRrQq5HXvWjN_tU78Q" \l "collapse4844" </w:instrText>
      </w: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separate"/>
      </w:r>
    </w:p>
    <w:p w:rsidR="008232BF" w:rsidRPr="008232BF" w:rsidRDefault="008232BF" w:rsidP="008232BF">
      <w:pPr>
        <w:widowControl/>
        <w:shd w:val="clear" w:color="auto" w:fill="F5F5F5"/>
        <w:jc w:val="both"/>
        <w:outlineLvl w:val="3"/>
        <w:rPr>
          <w:rFonts w:ascii="inherit" w:eastAsia="新細明體" w:hAnsi="inherit" w:cs="新細明體"/>
          <w:b/>
          <w:kern w:val="0"/>
          <w:szCs w:val="24"/>
        </w:rPr>
      </w:pP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家中幼兒已於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12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個月大時接種第一劑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疫苗，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MMR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第二劑是否可提前接種？需自費嗎？如何登錄於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NIIS</w:t>
      </w:r>
      <w:r w:rsidRPr="008232BF">
        <w:rPr>
          <w:rFonts w:ascii="Arial" w:eastAsia="新細明體" w:hAnsi="Arial" w:cs="Arial"/>
          <w:b/>
          <w:color w:val="3F6347"/>
          <w:spacing w:val="18"/>
          <w:kern w:val="0"/>
          <w:szCs w:val="24"/>
          <w:bdr w:val="none" w:sz="0" w:space="0" w:color="auto" w:frame="1"/>
        </w:rPr>
        <w:t>？</w:t>
      </w:r>
    </w:p>
    <w:p w:rsidR="008232BF" w:rsidRPr="008232BF" w:rsidRDefault="008232BF" w:rsidP="008232BF">
      <w:pPr>
        <w:widowControl/>
        <w:shd w:val="clear" w:color="auto" w:fill="F5F5F5"/>
        <w:jc w:val="both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  <w:r w:rsidRPr="008232BF">
        <w:rPr>
          <w:rFonts w:ascii="Arial" w:eastAsia="新細明體" w:hAnsi="Arial" w:cs="Arial"/>
          <w:color w:val="333333"/>
          <w:spacing w:val="18"/>
          <w:kern w:val="0"/>
          <w:szCs w:val="24"/>
        </w:rPr>
        <w:fldChar w:fldCharType="end"/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ind w:left="480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1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、若幼兒即將前往流行地區，可由醫師評估後提前接種公費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第二劑，但需與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第一劑至少間隔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28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天以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 xml:space="preserve"> 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上，其接種紀錄請登錄</w:t>
      </w:r>
      <w:proofErr w:type="gramStart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於黃卡與</w:t>
      </w:r>
      <w:proofErr w:type="gramEnd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資訊系統之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第二劑欄位。</w:t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ind w:left="480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2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、幼兒若無暴露風險，建議依照常規時程接種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第二劑，若仍堅持提前接種，可由醫師評估後接種公費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第二劑，但需與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第一劑至少間隔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28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天以上，接種紀錄亦登錄</w:t>
      </w:r>
      <w:proofErr w:type="gramStart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於黃卡與</w:t>
      </w:r>
      <w:proofErr w:type="gramEnd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資訊系統之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第二劑欄位。</w:t>
      </w:r>
    </w:p>
    <w:p w:rsidR="008232BF" w:rsidRPr="008232BF" w:rsidRDefault="008232BF" w:rsidP="008232BF">
      <w:pPr>
        <w:widowControl/>
        <w:shd w:val="clear" w:color="auto" w:fill="FFFFFF"/>
        <w:spacing w:line="420" w:lineRule="atLeast"/>
        <w:ind w:left="480"/>
        <w:jc w:val="both"/>
        <w:rPr>
          <w:rFonts w:ascii="Arial" w:eastAsia="新細明體" w:hAnsi="Arial" w:cs="Arial"/>
          <w:color w:val="666666"/>
          <w:spacing w:val="12"/>
          <w:kern w:val="0"/>
          <w:szCs w:val="24"/>
        </w:rPr>
      </w:pP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3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、上述完成兩劑公費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疫苗接種者，其後如欲再接種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MMR</w:t>
      </w:r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疫苗，須</w:t>
      </w:r>
      <w:proofErr w:type="gramStart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採</w:t>
      </w:r>
      <w:proofErr w:type="gramEnd"/>
      <w:r w:rsidRPr="008232BF">
        <w:rPr>
          <w:rFonts w:ascii="Arial" w:eastAsia="新細明體" w:hAnsi="Arial" w:cs="Arial"/>
          <w:color w:val="666666"/>
          <w:spacing w:val="18"/>
          <w:kern w:val="0"/>
          <w:szCs w:val="24"/>
        </w:rPr>
        <w:t>自費。</w:t>
      </w:r>
    </w:p>
    <w:p w:rsidR="008F0545" w:rsidRDefault="008F0545">
      <w:bookmarkStart w:id="0" w:name="_GoBack"/>
      <w:bookmarkEnd w:id="0"/>
    </w:p>
    <w:sectPr w:rsidR="008F0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52" w:rsidRDefault="002C5E52" w:rsidP="00502006">
      <w:r>
        <w:separator/>
      </w:r>
    </w:p>
  </w:endnote>
  <w:endnote w:type="continuationSeparator" w:id="0">
    <w:p w:rsidR="002C5E52" w:rsidRDefault="002C5E52" w:rsidP="005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52" w:rsidRDefault="002C5E52" w:rsidP="00502006">
      <w:r>
        <w:separator/>
      </w:r>
    </w:p>
  </w:footnote>
  <w:footnote w:type="continuationSeparator" w:id="0">
    <w:p w:rsidR="002C5E52" w:rsidRDefault="002C5E52" w:rsidP="0050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6B58"/>
    <w:multiLevelType w:val="multilevel"/>
    <w:tmpl w:val="BCD27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F"/>
    <w:rsid w:val="002C5E52"/>
    <w:rsid w:val="00502006"/>
    <w:rsid w:val="008232BF"/>
    <w:rsid w:val="008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0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61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477261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321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76966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17416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9381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3807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016587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83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025953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62388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2567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1341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675575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193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00644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474892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720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4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331279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435339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233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15871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791024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170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40473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467201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884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39208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919412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9683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83683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6281251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106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21231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922790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860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42648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574630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3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440676">
              <w:marLeft w:val="0"/>
              <w:marRight w:val="0"/>
              <w:marTop w:val="75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158700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319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0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疾管科陳卿儀</dc:creator>
  <cp:lastModifiedBy>疾管科陳卿儀</cp:lastModifiedBy>
  <cp:revision>2</cp:revision>
  <dcterms:created xsi:type="dcterms:W3CDTF">2019-04-17T02:01:00Z</dcterms:created>
  <dcterms:modified xsi:type="dcterms:W3CDTF">2019-04-17T02:14:00Z</dcterms:modified>
</cp:coreProperties>
</file>