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4E2" w:rsidRDefault="00023868" w:rsidP="007D06BA">
      <w:pPr>
        <w:rPr>
          <w:rFonts w:ascii="標楷體" w:eastAsia="標楷體" w:hAnsi="標楷體"/>
          <w:b/>
          <w:sz w:val="28"/>
        </w:rPr>
      </w:pPr>
      <w:r>
        <w:rPr>
          <w:rFonts w:ascii="標楷體" w:eastAsia="標楷體" w:hAnsi="標楷體" w:hint="eastAsia"/>
          <w:b/>
          <w:sz w:val="28"/>
        </w:rPr>
        <w:t>附表:</w:t>
      </w:r>
      <w:r w:rsidRPr="00023868">
        <w:rPr>
          <w:rFonts w:ascii="標楷體" w:eastAsia="標楷體" w:hAnsi="標楷體" w:hint="eastAsia"/>
          <w:b/>
          <w:sz w:val="28"/>
        </w:rPr>
        <w:t>社工人員執行高度風險及一般風險業務量表</w:t>
      </w:r>
      <w:r w:rsidR="008B788E">
        <w:rPr>
          <w:rFonts w:ascii="標楷體" w:eastAsia="標楷體" w:hAnsi="標楷體" w:hint="eastAsia"/>
          <w:b/>
          <w:sz w:val="28"/>
        </w:rPr>
        <w:t xml:space="preserve">   </w:t>
      </w:r>
      <w:r w:rsidR="007924E2">
        <w:rPr>
          <w:rFonts w:ascii="標楷體" w:eastAsia="標楷體" w:hAnsi="標楷體" w:hint="eastAsia"/>
          <w:b/>
          <w:sz w:val="28"/>
        </w:rPr>
        <w:t xml:space="preserve">   </w:t>
      </w:r>
    </w:p>
    <w:p w:rsidR="003E2AAB" w:rsidRPr="007924E2" w:rsidRDefault="007924E2" w:rsidP="007D06BA">
      <w:pPr>
        <w:rPr>
          <w:sz w:val="20"/>
        </w:rPr>
      </w:pPr>
      <w:r>
        <w:rPr>
          <w:rFonts w:ascii="標楷體" w:eastAsia="標楷體" w:hAnsi="標楷體" w:hint="eastAsia"/>
          <w:b/>
          <w:sz w:val="28"/>
        </w:rPr>
        <w:t xml:space="preserve">                                        </w:t>
      </w:r>
      <w:r w:rsidRPr="007924E2">
        <w:rPr>
          <w:rFonts w:ascii="標楷體" w:eastAsia="標楷體" w:hAnsi="標楷體" w:hint="eastAsia"/>
          <w:b/>
          <w:sz w:val="22"/>
        </w:rPr>
        <w:t>修正日期</w:t>
      </w:r>
      <w:r w:rsidR="006575DA">
        <w:rPr>
          <w:rFonts w:ascii="標楷體" w:eastAsia="標楷體" w:hAnsi="標楷體" w:hint="eastAsia"/>
          <w:b/>
          <w:sz w:val="22"/>
        </w:rPr>
        <w:t>:105</w:t>
      </w:r>
      <w:r w:rsidRPr="007924E2">
        <w:rPr>
          <w:rFonts w:ascii="標楷體" w:eastAsia="標楷體" w:hAnsi="標楷體" w:hint="eastAsia"/>
          <w:b/>
          <w:sz w:val="22"/>
        </w:rPr>
        <w:t>年</w:t>
      </w:r>
      <w:r w:rsidR="006575DA">
        <w:rPr>
          <w:rFonts w:ascii="標楷體" w:eastAsia="標楷體" w:hAnsi="標楷體" w:hint="eastAsia"/>
          <w:b/>
          <w:sz w:val="22"/>
        </w:rPr>
        <w:t>1</w:t>
      </w:r>
      <w:r w:rsidRPr="007924E2">
        <w:rPr>
          <w:rFonts w:ascii="標楷體" w:eastAsia="標楷體" w:hAnsi="標楷體" w:hint="eastAsia"/>
          <w:b/>
          <w:sz w:val="22"/>
        </w:rPr>
        <w:t>月</w:t>
      </w:r>
      <w:r w:rsidR="006575DA">
        <w:rPr>
          <w:rFonts w:ascii="標楷體" w:eastAsia="標楷體" w:hAnsi="標楷體" w:hint="eastAsia"/>
          <w:b/>
          <w:sz w:val="22"/>
        </w:rPr>
        <w:t>29</w:t>
      </w:r>
      <w:r w:rsidRPr="007924E2">
        <w:rPr>
          <w:rFonts w:ascii="標楷體" w:eastAsia="標楷體" w:hAnsi="標楷體" w:hint="eastAsia"/>
          <w:b/>
          <w:sz w:val="22"/>
        </w:rPr>
        <w:t>日</w:t>
      </w:r>
    </w:p>
    <w:tbl>
      <w:tblPr>
        <w:tblStyle w:val="2"/>
        <w:tblW w:w="9923" w:type="dxa"/>
        <w:tblInd w:w="-601" w:type="dxa"/>
        <w:tblLook w:val="04A0" w:firstRow="1" w:lastRow="0" w:firstColumn="1" w:lastColumn="0" w:noHBand="0" w:noVBand="1"/>
      </w:tblPr>
      <w:tblGrid>
        <w:gridCol w:w="1560"/>
        <w:gridCol w:w="3544"/>
        <w:gridCol w:w="4819"/>
      </w:tblGrid>
      <w:tr w:rsidR="006A2C9B" w:rsidRPr="008651DE" w:rsidTr="00353B4D">
        <w:tc>
          <w:tcPr>
            <w:tcW w:w="1560" w:type="dxa"/>
            <w:tcBorders>
              <w:bottom w:val="single" w:sz="4" w:space="0" w:color="auto"/>
              <w:tl2br w:val="nil"/>
            </w:tcBorders>
          </w:tcPr>
          <w:p w:rsidR="006A2C9B" w:rsidRPr="0064064D" w:rsidRDefault="006A2C9B" w:rsidP="009A097A">
            <w:pPr>
              <w:spacing w:line="0" w:lineRule="atLeast"/>
              <w:rPr>
                <w:rFonts w:ascii="標楷體" w:eastAsia="標楷體" w:hAnsi="標楷體"/>
                <w:sz w:val="28"/>
                <w:szCs w:val="28"/>
              </w:rPr>
            </w:pPr>
            <w:r w:rsidRPr="0064064D">
              <w:rPr>
                <w:rFonts w:ascii="標楷體" w:eastAsia="標楷體" w:hAnsi="標楷體" w:hint="eastAsia"/>
                <w:sz w:val="28"/>
                <w:szCs w:val="28"/>
              </w:rPr>
              <w:t>風險業務定義</w:t>
            </w:r>
          </w:p>
        </w:tc>
        <w:tc>
          <w:tcPr>
            <w:tcW w:w="8363" w:type="dxa"/>
            <w:gridSpan w:val="2"/>
          </w:tcPr>
          <w:p w:rsidR="006A2C9B" w:rsidRPr="0064064D" w:rsidRDefault="00536A89" w:rsidP="003E2AAB">
            <w:pPr>
              <w:spacing w:line="0" w:lineRule="atLeast"/>
              <w:rPr>
                <w:rFonts w:ascii="標楷體" w:eastAsia="標楷體" w:hAnsi="標楷體"/>
                <w:sz w:val="28"/>
                <w:szCs w:val="28"/>
              </w:rPr>
            </w:pPr>
            <w:r w:rsidRPr="0064064D">
              <w:rPr>
                <w:rFonts w:ascii="標楷體" w:eastAsia="標楷體" w:hAnsi="標楷體" w:hint="eastAsia"/>
                <w:sz w:val="28"/>
                <w:szCs w:val="28"/>
              </w:rPr>
              <w:t>執行社會工作師法第12條所定直接服務及面訪處遇個案之業務(諮詢專線除外)，並有受騷擾、恐嚇、威脅等，致生危害或有危害之虞，或生命、身體、精神或自由受不法侵害。</w:t>
            </w:r>
          </w:p>
        </w:tc>
      </w:tr>
      <w:tr w:rsidR="00750AE9" w:rsidRPr="008651DE" w:rsidTr="00353B4D">
        <w:tc>
          <w:tcPr>
            <w:tcW w:w="1560" w:type="dxa"/>
            <w:tcBorders>
              <w:tl2br w:val="nil"/>
            </w:tcBorders>
          </w:tcPr>
          <w:p w:rsidR="00353B4D" w:rsidRPr="008651DE" w:rsidRDefault="00353B4D" w:rsidP="00353B4D">
            <w:pPr>
              <w:spacing w:line="0" w:lineRule="atLeast"/>
              <w:rPr>
                <w:rFonts w:ascii="標楷體" w:eastAsia="標楷體" w:hAnsi="標楷體"/>
                <w:sz w:val="28"/>
                <w:szCs w:val="28"/>
              </w:rPr>
            </w:pPr>
            <w:r w:rsidRPr="008651DE">
              <w:rPr>
                <w:rFonts w:ascii="標楷體" w:eastAsia="標楷體" w:hAnsi="標楷體" w:hint="eastAsia"/>
                <w:sz w:val="28"/>
                <w:szCs w:val="28"/>
              </w:rPr>
              <w:t>類別</w:t>
            </w:r>
          </w:p>
          <w:p w:rsidR="00750AE9" w:rsidRPr="008651DE" w:rsidRDefault="00750AE9" w:rsidP="00DC1150">
            <w:pPr>
              <w:spacing w:line="0" w:lineRule="atLeast"/>
              <w:rPr>
                <w:rFonts w:ascii="標楷體" w:eastAsia="標楷體" w:hAnsi="標楷體"/>
                <w:sz w:val="28"/>
                <w:szCs w:val="28"/>
              </w:rPr>
            </w:pPr>
          </w:p>
        </w:tc>
        <w:tc>
          <w:tcPr>
            <w:tcW w:w="3544" w:type="dxa"/>
          </w:tcPr>
          <w:p w:rsidR="00750AE9" w:rsidRPr="008651DE" w:rsidRDefault="00750AE9" w:rsidP="00DC1150">
            <w:pPr>
              <w:spacing w:line="0" w:lineRule="atLeast"/>
              <w:rPr>
                <w:rFonts w:ascii="標楷體" w:eastAsia="標楷體" w:hAnsi="標楷體"/>
                <w:sz w:val="28"/>
                <w:szCs w:val="28"/>
              </w:rPr>
            </w:pPr>
            <w:r w:rsidRPr="008651DE">
              <w:rPr>
                <w:rFonts w:ascii="標楷體" w:eastAsia="標楷體" w:hAnsi="標楷體" w:hint="eastAsia"/>
                <w:sz w:val="28"/>
                <w:szCs w:val="28"/>
              </w:rPr>
              <w:t>高度風險</w:t>
            </w:r>
          </w:p>
        </w:tc>
        <w:tc>
          <w:tcPr>
            <w:tcW w:w="4819" w:type="dxa"/>
          </w:tcPr>
          <w:p w:rsidR="00750AE9" w:rsidRPr="008651DE" w:rsidRDefault="00750AE9" w:rsidP="00DC1150">
            <w:pPr>
              <w:spacing w:line="0" w:lineRule="atLeast"/>
              <w:rPr>
                <w:rFonts w:ascii="標楷體" w:eastAsia="標楷體" w:hAnsi="標楷體"/>
                <w:sz w:val="28"/>
                <w:szCs w:val="28"/>
              </w:rPr>
            </w:pPr>
            <w:r w:rsidRPr="008651DE">
              <w:rPr>
                <w:rFonts w:ascii="標楷體" w:eastAsia="標楷體" w:hAnsi="標楷體" w:hint="eastAsia"/>
                <w:sz w:val="28"/>
                <w:szCs w:val="28"/>
              </w:rPr>
              <w:t>一般風險</w:t>
            </w:r>
          </w:p>
        </w:tc>
      </w:tr>
      <w:tr w:rsidR="00750AE9" w:rsidRPr="008651DE" w:rsidTr="003621C7">
        <w:tc>
          <w:tcPr>
            <w:tcW w:w="1560" w:type="dxa"/>
          </w:tcPr>
          <w:p w:rsidR="00750AE9" w:rsidRPr="008651DE" w:rsidRDefault="00750AE9" w:rsidP="003E2AAB">
            <w:pPr>
              <w:spacing w:line="0" w:lineRule="atLeast"/>
              <w:rPr>
                <w:rFonts w:ascii="標楷體" w:eastAsia="標楷體" w:hAnsi="標楷體"/>
                <w:sz w:val="28"/>
                <w:szCs w:val="28"/>
              </w:rPr>
            </w:pPr>
            <w:r w:rsidRPr="008651DE">
              <w:rPr>
                <w:rFonts w:ascii="標楷體" w:eastAsia="標楷體" w:hAnsi="標楷體" w:hint="eastAsia"/>
                <w:sz w:val="28"/>
                <w:szCs w:val="28"/>
              </w:rPr>
              <w:t>風險業務等級</w:t>
            </w:r>
          </w:p>
        </w:tc>
        <w:tc>
          <w:tcPr>
            <w:tcW w:w="3544" w:type="dxa"/>
          </w:tcPr>
          <w:p w:rsidR="00750AE9" w:rsidRPr="008651DE" w:rsidRDefault="00750AE9" w:rsidP="003E2AAB">
            <w:pPr>
              <w:spacing w:line="0" w:lineRule="atLeast"/>
              <w:rPr>
                <w:rFonts w:ascii="標楷體" w:eastAsia="標楷體" w:hAnsi="標楷體"/>
                <w:sz w:val="28"/>
                <w:szCs w:val="28"/>
              </w:rPr>
            </w:pPr>
            <w:r w:rsidRPr="008651DE">
              <w:rPr>
                <w:rFonts w:ascii="標楷體" w:eastAsia="標楷體" w:hAnsi="標楷體" w:hint="eastAsia"/>
                <w:sz w:val="28"/>
                <w:szCs w:val="28"/>
              </w:rPr>
              <w:t>5或5以上</w:t>
            </w:r>
          </w:p>
        </w:tc>
        <w:tc>
          <w:tcPr>
            <w:tcW w:w="4819" w:type="dxa"/>
          </w:tcPr>
          <w:p w:rsidR="00750AE9" w:rsidRPr="008651DE" w:rsidRDefault="00750AE9" w:rsidP="003E2AAB">
            <w:pPr>
              <w:spacing w:line="0" w:lineRule="atLeast"/>
              <w:rPr>
                <w:rFonts w:ascii="標楷體" w:eastAsia="標楷體" w:hAnsi="標楷體"/>
                <w:sz w:val="28"/>
                <w:szCs w:val="28"/>
              </w:rPr>
            </w:pPr>
            <w:r w:rsidRPr="008651DE">
              <w:rPr>
                <w:rFonts w:ascii="標楷體" w:eastAsia="標楷體" w:hAnsi="標楷體" w:hint="eastAsia"/>
                <w:sz w:val="28"/>
                <w:szCs w:val="28"/>
              </w:rPr>
              <w:t>3-4</w:t>
            </w:r>
          </w:p>
        </w:tc>
      </w:tr>
      <w:tr w:rsidR="00750AE9" w:rsidRPr="008651DE" w:rsidTr="003621C7">
        <w:tc>
          <w:tcPr>
            <w:tcW w:w="1560" w:type="dxa"/>
          </w:tcPr>
          <w:p w:rsidR="00750AE9" w:rsidRPr="00CA5AE4" w:rsidRDefault="00750AE9" w:rsidP="003E2AAB">
            <w:pPr>
              <w:spacing w:line="0" w:lineRule="atLeast"/>
              <w:rPr>
                <w:rFonts w:ascii="標楷體" w:eastAsia="標楷體" w:hAnsi="標楷體"/>
                <w:sz w:val="28"/>
                <w:szCs w:val="28"/>
              </w:rPr>
            </w:pPr>
            <w:r w:rsidRPr="00CA5AE4">
              <w:rPr>
                <w:rFonts w:ascii="標楷體" w:eastAsia="標楷體" w:hAnsi="標楷體" w:hint="eastAsia"/>
                <w:sz w:val="28"/>
                <w:szCs w:val="28"/>
              </w:rPr>
              <w:t>業務</w:t>
            </w:r>
            <w:r w:rsidR="00A87FE6" w:rsidRPr="00CA5AE4">
              <w:rPr>
                <w:rFonts w:ascii="標楷體" w:eastAsia="標楷體" w:hAnsi="標楷體" w:hint="eastAsia"/>
                <w:sz w:val="28"/>
                <w:szCs w:val="28"/>
              </w:rPr>
              <w:t>(主責)</w:t>
            </w:r>
            <w:r w:rsidRPr="00CA5AE4">
              <w:rPr>
                <w:rFonts w:ascii="標楷體" w:eastAsia="標楷體" w:hAnsi="標楷體" w:hint="eastAsia"/>
                <w:sz w:val="28"/>
                <w:szCs w:val="28"/>
              </w:rPr>
              <w:t>比重</w:t>
            </w:r>
          </w:p>
        </w:tc>
        <w:tc>
          <w:tcPr>
            <w:tcW w:w="3544" w:type="dxa"/>
          </w:tcPr>
          <w:p w:rsidR="00750AE9" w:rsidRPr="00CA5AE4" w:rsidRDefault="00750AE9" w:rsidP="003E2AAB">
            <w:pPr>
              <w:spacing w:line="0" w:lineRule="atLeast"/>
              <w:rPr>
                <w:rFonts w:ascii="標楷體" w:eastAsia="標楷體" w:hAnsi="標楷體"/>
                <w:sz w:val="28"/>
                <w:szCs w:val="28"/>
              </w:rPr>
            </w:pPr>
            <w:r w:rsidRPr="00CA5AE4">
              <w:rPr>
                <w:rFonts w:ascii="標楷體" w:eastAsia="標楷體" w:hAnsi="標楷體" w:hint="eastAsia"/>
                <w:sz w:val="28"/>
                <w:szCs w:val="28"/>
              </w:rPr>
              <w:t>50%(含)以上</w:t>
            </w:r>
            <w:r w:rsidR="00BF75BA" w:rsidRPr="00CA5AE4">
              <w:rPr>
                <w:rFonts w:ascii="標楷體" w:eastAsia="標楷體" w:hAnsi="標楷體" w:hint="eastAsia"/>
                <w:sz w:val="28"/>
                <w:szCs w:val="28"/>
              </w:rPr>
              <w:t>(單一項或合併)</w:t>
            </w:r>
          </w:p>
        </w:tc>
        <w:tc>
          <w:tcPr>
            <w:tcW w:w="4819" w:type="dxa"/>
          </w:tcPr>
          <w:p w:rsidR="00750AE9" w:rsidRPr="00CA5AE4" w:rsidRDefault="00750AE9" w:rsidP="003E2AAB">
            <w:pPr>
              <w:spacing w:line="0" w:lineRule="atLeast"/>
              <w:rPr>
                <w:rFonts w:ascii="標楷體" w:eastAsia="標楷體" w:hAnsi="標楷體"/>
                <w:sz w:val="28"/>
                <w:szCs w:val="28"/>
              </w:rPr>
            </w:pPr>
            <w:r w:rsidRPr="00CA5AE4">
              <w:rPr>
                <w:rFonts w:ascii="標楷體" w:eastAsia="標楷體" w:hAnsi="標楷體" w:hint="eastAsia"/>
                <w:sz w:val="28"/>
                <w:szCs w:val="28"/>
              </w:rPr>
              <w:t>50%(含)以上</w:t>
            </w:r>
            <w:r w:rsidR="008126CF" w:rsidRPr="00CA5AE4">
              <w:rPr>
                <w:rFonts w:ascii="標楷體" w:eastAsia="標楷體" w:hAnsi="標楷體" w:hint="eastAsia"/>
                <w:sz w:val="28"/>
                <w:szCs w:val="28"/>
              </w:rPr>
              <w:t>(單一項或合併)</w:t>
            </w:r>
          </w:p>
        </w:tc>
      </w:tr>
      <w:tr w:rsidR="007532D4" w:rsidRPr="008651DE" w:rsidTr="008651DE">
        <w:trPr>
          <w:trHeight w:val="9149"/>
        </w:trPr>
        <w:tc>
          <w:tcPr>
            <w:tcW w:w="1560" w:type="dxa"/>
            <w:vMerge w:val="restart"/>
          </w:tcPr>
          <w:p w:rsidR="007532D4" w:rsidRPr="00CA5AE4" w:rsidRDefault="007532D4" w:rsidP="000725FE">
            <w:pPr>
              <w:spacing w:line="0" w:lineRule="atLeast"/>
              <w:rPr>
                <w:rFonts w:ascii="標楷體" w:eastAsia="標楷體" w:hAnsi="標楷體"/>
                <w:sz w:val="28"/>
                <w:szCs w:val="28"/>
              </w:rPr>
            </w:pPr>
            <w:r w:rsidRPr="00CA5AE4">
              <w:rPr>
                <w:rFonts w:ascii="標楷體" w:eastAsia="標楷體" w:hAnsi="標楷體" w:hint="eastAsia"/>
                <w:sz w:val="28"/>
                <w:szCs w:val="28"/>
              </w:rPr>
              <w:t>業務內容</w:t>
            </w:r>
          </w:p>
        </w:tc>
        <w:tc>
          <w:tcPr>
            <w:tcW w:w="3544" w:type="dxa"/>
            <w:vMerge w:val="restart"/>
          </w:tcPr>
          <w:p w:rsidR="007532D4" w:rsidRPr="00CA5AE4" w:rsidRDefault="007532D4" w:rsidP="001426C6">
            <w:pPr>
              <w:spacing w:line="0" w:lineRule="atLeast"/>
              <w:ind w:left="566" w:hangingChars="202" w:hanging="566"/>
              <w:jc w:val="both"/>
              <w:rPr>
                <w:rFonts w:ascii="標楷體" w:eastAsia="標楷體" w:hAnsi="標楷體"/>
                <w:sz w:val="28"/>
                <w:szCs w:val="28"/>
              </w:rPr>
            </w:pPr>
            <w:r w:rsidRPr="00CA5AE4">
              <w:rPr>
                <w:rFonts w:ascii="標楷體" w:eastAsia="標楷體" w:hAnsi="標楷體" w:hint="eastAsia"/>
                <w:sz w:val="28"/>
                <w:szCs w:val="28"/>
              </w:rPr>
              <w:t>一、辦理兒少保護個案之調查評估及處遇服務等直接服務工作。</w:t>
            </w:r>
          </w:p>
          <w:p w:rsidR="007532D4" w:rsidRPr="00CA5AE4" w:rsidRDefault="007532D4" w:rsidP="001426C6">
            <w:pPr>
              <w:spacing w:line="0" w:lineRule="atLeast"/>
              <w:ind w:left="566" w:hangingChars="202" w:hanging="566"/>
              <w:jc w:val="both"/>
              <w:rPr>
                <w:rFonts w:ascii="標楷體" w:eastAsia="標楷體" w:hAnsi="標楷體"/>
                <w:sz w:val="28"/>
                <w:szCs w:val="28"/>
              </w:rPr>
            </w:pPr>
            <w:r w:rsidRPr="00CA5AE4">
              <w:rPr>
                <w:rFonts w:ascii="標楷體" w:eastAsia="標楷體" w:hAnsi="標楷體" w:hint="eastAsia"/>
                <w:sz w:val="28"/>
                <w:szCs w:val="28"/>
              </w:rPr>
              <w:t>二、辦理兒少性剝削個案之陪同偵訊、評估及處置等直接服務工作。</w:t>
            </w:r>
          </w:p>
          <w:p w:rsidR="007532D4" w:rsidRPr="00CA5AE4" w:rsidRDefault="007532D4" w:rsidP="001426C6">
            <w:pPr>
              <w:spacing w:line="0" w:lineRule="atLeast"/>
              <w:ind w:left="566" w:hangingChars="202" w:hanging="566"/>
              <w:jc w:val="both"/>
              <w:rPr>
                <w:rFonts w:ascii="標楷體" w:eastAsia="標楷體" w:hAnsi="標楷體"/>
                <w:sz w:val="28"/>
                <w:szCs w:val="28"/>
              </w:rPr>
            </w:pPr>
            <w:r w:rsidRPr="00CA5AE4">
              <w:rPr>
                <w:rFonts w:ascii="標楷體" w:eastAsia="標楷體" w:hAnsi="標楷體" w:hint="eastAsia"/>
                <w:sz w:val="28"/>
                <w:szCs w:val="28"/>
              </w:rPr>
              <w:t>三、辦理家庭暴力案件之調查評估、提供被害人或未成年子女服務或相對人個案及家庭服務等直接服務工作。</w:t>
            </w:r>
          </w:p>
          <w:p w:rsidR="007532D4" w:rsidRPr="00CA5AE4" w:rsidRDefault="007532D4" w:rsidP="001426C6">
            <w:pPr>
              <w:spacing w:line="0" w:lineRule="atLeast"/>
              <w:ind w:left="566" w:hangingChars="202" w:hanging="566"/>
              <w:jc w:val="both"/>
              <w:rPr>
                <w:rFonts w:ascii="標楷體" w:eastAsia="標楷體" w:hAnsi="標楷體"/>
                <w:sz w:val="28"/>
                <w:szCs w:val="28"/>
              </w:rPr>
            </w:pPr>
            <w:r w:rsidRPr="00CA5AE4">
              <w:rPr>
                <w:rFonts w:ascii="標楷體" w:eastAsia="標楷體" w:hAnsi="標楷體" w:hint="eastAsia"/>
                <w:sz w:val="28"/>
                <w:szCs w:val="28"/>
              </w:rPr>
              <w:t>四、辦理性侵害案件被害人身心評估及陪同偵訊等直接服務工作。</w:t>
            </w:r>
          </w:p>
          <w:p w:rsidR="007532D4" w:rsidRPr="00CA5AE4" w:rsidRDefault="007532D4" w:rsidP="001426C6">
            <w:pPr>
              <w:spacing w:line="0" w:lineRule="atLeast"/>
              <w:ind w:left="599" w:hangingChars="214" w:hanging="599"/>
              <w:jc w:val="both"/>
              <w:rPr>
                <w:rFonts w:ascii="標楷體" w:eastAsia="標楷體" w:hAnsi="標楷體"/>
                <w:sz w:val="28"/>
                <w:szCs w:val="28"/>
              </w:rPr>
            </w:pPr>
            <w:r w:rsidRPr="00CA5AE4">
              <w:rPr>
                <w:rFonts w:ascii="標楷體" w:eastAsia="標楷體" w:hAnsi="標楷體" w:hint="eastAsia"/>
                <w:sz w:val="28"/>
                <w:szCs w:val="28"/>
              </w:rPr>
              <w:t>五、辦理老人及身心障礙者保護案件之訪視調查及相關直接服務工作。</w:t>
            </w:r>
          </w:p>
          <w:p w:rsidR="007532D4" w:rsidRPr="00CA5AE4" w:rsidRDefault="007532D4" w:rsidP="001426C6">
            <w:pPr>
              <w:spacing w:line="0" w:lineRule="atLeast"/>
              <w:ind w:left="599" w:hangingChars="214" w:hanging="599"/>
              <w:jc w:val="both"/>
              <w:rPr>
                <w:rFonts w:ascii="標楷體" w:eastAsia="標楷體" w:hAnsi="標楷體"/>
                <w:sz w:val="28"/>
                <w:szCs w:val="28"/>
              </w:rPr>
            </w:pPr>
            <w:r w:rsidRPr="00CA5AE4">
              <w:rPr>
                <w:rFonts w:ascii="標楷體" w:eastAsia="標楷體" w:hAnsi="標楷體" w:hint="eastAsia"/>
                <w:sz w:val="28"/>
                <w:szCs w:val="28"/>
              </w:rPr>
              <w:t xml:space="preserve">六、辦理高風險家庭服務。                                                                                                                                                                                                                                                                                                                                                                                                                                                                                                                                                                                                                                                                                                                                                                                                                                                                                          </w:t>
            </w:r>
          </w:p>
          <w:p w:rsidR="007532D4" w:rsidRPr="00CA5AE4" w:rsidRDefault="007532D4" w:rsidP="006956EC">
            <w:pPr>
              <w:spacing w:line="0" w:lineRule="atLeast"/>
              <w:ind w:left="482" w:hangingChars="172" w:hanging="482"/>
              <w:jc w:val="both"/>
              <w:rPr>
                <w:rFonts w:ascii="標楷體" w:eastAsia="標楷體" w:hAnsi="標楷體"/>
                <w:sz w:val="28"/>
                <w:szCs w:val="28"/>
              </w:rPr>
            </w:pPr>
            <w:r w:rsidRPr="00CA5AE4">
              <w:rPr>
                <w:rFonts w:ascii="標楷體" w:eastAsia="標楷體" w:hAnsi="標楷體" w:hint="eastAsia"/>
                <w:sz w:val="28"/>
                <w:szCs w:val="28"/>
              </w:rPr>
              <w:t>七、辦理執行6歲以下弱勢兒童主動關懷方案。</w:t>
            </w:r>
          </w:p>
          <w:p w:rsidR="007532D4" w:rsidRPr="00CA5AE4" w:rsidRDefault="007532D4" w:rsidP="006956EC">
            <w:pPr>
              <w:spacing w:line="0" w:lineRule="atLeast"/>
              <w:ind w:left="482" w:hangingChars="172" w:hanging="482"/>
              <w:jc w:val="both"/>
              <w:rPr>
                <w:rFonts w:ascii="標楷體" w:eastAsia="標楷體" w:hAnsi="標楷體"/>
                <w:sz w:val="28"/>
                <w:szCs w:val="28"/>
              </w:rPr>
            </w:pPr>
            <w:r w:rsidRPr="00CA5AE4">
              <w:rPr>
                <w:rFonts w:ascii="標楷體" w:eastAsia="標楷體" w:hAnsi="標楷體" w:hint="eastAsia"/>
                <w:sz w:val="28"/>
                <w:szCs w:val="28"/>
              </w:rPr>
              <w:t>八、遊民業務。</w:t>
            </w:r>
          </w:p>
          <w:p w:rsidR="007532D4" w:rsidRPr="00CA5AE4" w:rsidRDefault="007532D4" w:rsidP="00CC14A3">
            <w:pPr>
              <w:spacing w:line="0" w:lineRule="atLeast"/>
              <w:ind w:leftChars="12" w:left="600" w:hangingChars="204" w:hanging="571"/>
              <w:jc w:val="both"/>
              <w:rPr>
                <w:rFonts w:ascii="標楷體" w:eastAsia="標楷體" w:hAnsi="標楷體"/>
                <w:sz w:val="28"/>
                <w:szCs w:val="28"/>
              </w:rPr>
            </w:pPr>
            <w:r w:rsidRPr="00CA5AE4">
              <w:rPr>
                <w:rFonts w:ascii="標楷體" w:eastAsia="標楷體" w:hAnsi="標楷體" w:hint="eastAsia"/>
                <w:sz w:val="28"/>
                <w:szCs w:val="28"/>
              </w:rPr>
              <w:t>九、整合型心理健康促進、精神疾病防治及特殊族群處遇工作：</w:t>
            </w:r>
          </w:p>
          <w:p w:rsidR="00666EF3" w:rsidRPr="00CA5AE4" w:rsidRDefault="007532D4" w:rsidP="00666EF3">
            <w:pPr>
              <w:pStyle w:val="a8"/>
              <w:numPr>
                <w:ilvl w:val="0"/>
                <w:numId w:val="11"/>
              </w:numPr>
              <w:tabs>
                <w:tab w:val="left" w:pos="601"/>
              </w:tabs>
              <w:spacing w:line="0" w:lineRule="atLeast"/>
              <w:ind w:leftChars="0"/>
              <w:jc w:val="both"/>
              <w:rPr>
                <w:rFonts w:ascii="標楷體" w:eastAsia="標楷體" w:hAnsi="標楷體"/>
                <w:sz w:val="28"/>
                <w:szCs w:val="28"/>
              </w:rPr>
            </w:pPr>
            <w:r w:rsidRPr="00CA5AE4">
              <w:rPr>
                <w:rFonts w:ascii="標楷體" w:eastAsia="標楷體" w:hAnsi="標楷體" w:hint="eastAsia"/>
                <w:sz w:val="28"/>
                <w:szCs w:val="28"/>
              </w:rPr>
              <w:t>接受衛生局派案或受</w:t>
            </w:r>
            <w:r w:rsidRPr="00CA5AE4">
              <w:rPr>
                <w:rFonts w:ascii="標楷體" w:eastAsia="標楷體" w:hAnsi="標楷體" w:hint="eastAsia"/>
                <w:sz w:val="28"/>
                <w:szCs w:val="28"/>
              </w:rPr>
              <w:lastRenderedPageBreak/>
              <w:t>理轉介資料，於開案後提供精神病人或自殺個案居家訪視評估及轉介相關資源之直接服務工作。</w:t>
            </w:r>
          </w:p>
          <w:p w:rsidR="007532D4" w:rsidRPr="00CA5AE4" w:rsidRDefault="007532D4" w:rsidP="00666EF3">
            <w:pPr>
              <w:pStyle w:val="a8"/>
              <w:numPr>
                <w:ilvl w:val="0"/>
                <w:numId w:val="11"/>
              </w:numPr>
              <w:tabs>
                <w:tab w:val="left" w:pos="601"/>
              </w:tabs>
              <w:spacing w:line="0" w:lineRule="atLeast"/>
              <w:ind w:leftChars="0"/>
              <w:jc w:val="both"/>
              <w:rPr>
                <w:rFonts w:ascii="標楷體" w:eastAsia="標楷體" w:hAnsi="標楷體"/>
                <w:sz w:val="28"/>
                <w:szCs w:val="28"/>
              </w:rPr>
            </w:pPr>
            <w:r w:rsidRPr="00CA5AE4">
              <w:rPr>
                <w:rFonts w:ascii="標楷體" w:eastAsia="標楷體" w:hAnsi="標楷體" w:hint="eastAsia"/>
                <w:sz w:val="28"/>
                <w:szCs w:val="28"/>
              </w:rPr>
              <w:t>辦理社區自殺及(疑似)精神病人危機事件處理</w:t>
            </w:r>
            <w:bookmarkStart w:id="0" w:name="_GoBack"/>
            <w:bookmarkEnd w:id="0"/>
            <w:r w:rsidRPr="00CA5AE4">
              <w:rPr>
                <w:rFonts w:ascii="標楷體" w:eastAsia="標楷體" w:hAnsi="標楷體" w:hint="eastAsia"/>
                <w:sz w:val="28"/>
                <w:szCs w:val="28"/>
              </w:rPr>
              <w:t>。</w:t>
            </w:r>
          </w:p>
        </w:tc>
        <w:tc>
          <w:tcPr>
            <w:tcW w:w="4819" w:type="dxa"/>
          </w:tcPr>
          <w:p w:rsidR="00D42D59" w:rsidRPr="00CA5AE4" w:rsidRDefault="007532D4" w:rsidP="00D42D59">
            <w:pPr>
              <w:pStyle w:val="a8"/>
              <w:numPr>
                <w:ilvl w:val="0"/>
                <w:numId w:val="1"/>
              </w:numPr>
              <w:spacing w:line="0" w:lineRule="atLeast"/>
              <w:ind w:leftChars="0" w:left="600" w:hanging="600"/>
              <w:jc w:val="both"/>
              <w:rPr>
                <w:rFonts w:ascii="標楷體" w:eastAsia="標楷體" w:hAnsi="標楷體"/>
                <w:sz w:val="28"/>
                <w:szCs w:val="28"/>
              </w:rPr>
            </w:pPr>
            <w:r w:rsidRPr="00CA5AE4">
              <w:rPr>
                <w:rFonts w:ascii="標楷體" w:eastAsia="標楷體" w:hAnsi="標楷體" w:hint="eastAsia"/>
                <w:sz w:val="28"/>
                <w:szCs w:val="28"/>
              </w:rPr>
              <w:lastRenderedPageBreak/>
              <w:t>提供弱勢兒少及其家庭福利措施、協助家庭弱勢及家逢變故之兒少進行委託安置及家庭寄養服務。</w:t>
            </w:r>
          </w:p>
          <w:p w:rsidR="00D42D59" w:rsidRPr="00CA5AE4" w:rsidRDefault="007532D4" w:rsidP="00D42D59">
            <w:pPr>
              <w:pStyle w:val="a8"/>
              <w:numPr>
                <w:ilvl w:val="0"/>
                <w:numId w:val="1"/>
              </w:numPr>
              <w:spacing w:line="0" w:lineRule="atLeast"/>
              <w:ind w:leftChars="0" w:left="600" w:hanging="600"/>
              <w:jc w:val="both"/>
              <w:rPr>
                <w:rFonts w:ascii="標楷體" w:eastAsia="標楷體" w:hAnsi="標楷體"/>
                <w:sz w:val="28"/>
                <w:szCs w:val="28"/>
              </w:rPr>
            </w:pPr>
            <w:r w:rsidRPr="00CA5AE4">
              <w:rPr>
                <w:rFonts w:ascii="標楷體" w:eastAsia="標楷體" w:hAnsi="標楷體" w:hint="eastAsia"/>
                <w:sz w:val="28"/>
                <w:szCs w:val="28"/>
              </w:rPr>
              <w:t>禁止兒少為吸菸飲酒、施用毒品、進出不良場所等相關措施，提供少年保護案件及少年刑事案件所涉少年及其家庭福利服務及後續追蹤輔導。</w:t>
            </w:r>
          </w:p>
          <w:p w:rsidR="00D42D59" w:rsidRPr="00CA5AE4" w:rsidRDefault="007532D4" w:rsidP="00D42D59">
            <w:pPr>
              <w:pStyle w:val="a8"/>
              <w:numPr>
                <w:ilvl w:val="0"/>
                <w:numId w:val="1"/>
              </w:numPr>
              <w:spacing w:line="0" w:lineRule="atLeast"/>
              <w:ind w:leftChars="0" w:left="600" w:hanging="600"/>
              <w:jc w:val="both"/>
              <w:rPr>
                <w:rFonts w:ascii="標楷體" w:eastAsia="標楷體" w:hAnsi="標楷體"/>
                <w:sz w:val="28"/>
                <w:szCs w:val="28"/>
              </w:rPr>
            </w:pPr>
            <w:r w:rsidRPr="00CA5AE4">
              <w:rPr>
                <w:rFonts w:ascii="標楷體" w:eastAsia="標楷體" w:hAnsi="標楷體" w:hint="eastAsia"/>
                <w:sz w:val="28"/>
                <w:szCs w:val="28"/>
              </w:rPr>
              <w:t>特殊境遇家庭扶</w:t>
            </w:r>
            <w:r w:rsidRPr="00CA5AE4">
              <w:rPr>
                <w:rFonts w:ascii="標楷體" w:eastAsia="標楷體" w:hAnsi="標楷體"/>
                <w:sz w:val="28"/>
                <w:szCs w:val="28"/>
              </w:rPr>
              <w:t>助</w:t>
            </w:r>
            <w:r w:rsidRPr="00CA5AE4">
              <w:rPr>
                <w:rFonts w:ascii="標楷體" w:eastAsia="標楷體" w:hAnsi="標楷體" w:hint="eastAsia"/>
                <w:sz w:val="28"/>
                <w:szCs w:val="28"/>
              </w:rPr>
              <w:t>調查訪</w:t>
            </w:r>
            <w:r w:rsidRPr="00CA5AE4">
              <w:rPr>
                <w:rFonts w:ascii="標楷體" w:eastAsia="標楷體" w:hAnsi="標楷體"/>
                <w:sz w:val="28"/>
                <w:szCs w:val="28"/>
              </w:rPr>
              <w:t>視</w:t>
            </w:r>
            <w:r w:rsidRPr="00CA5AE4">
              <w:rPr>
                <w:rFonts w:ascii="標楷體" w:eastAsia="標楷體" w:hAnsi="標楷體" w:hint="eastAsia"/>
                <w:sz w:val="28"/>
                <w:szCs w:val="28"/>
              </w:rPr>
              <w:t>、單親家庭與弱勢家庭個案服務、性騷被害人服務。</w:t>
            </w:r>
          </w:p>
          <w:p w:rsidR="00D42D59" w:rsidRPr="00CA5AE4" w:rsidRDefault="007532D4" w:rsidP="00D42D59">
            <w:pPr>
              <w:pStyle w:val="a8"/>
              <w:numPr>
                <w:ilvl w:val="0"/>
                <w:numId w:val="1"/>
              </w:numPr>
              <w:spacing w:line="0" w:lineRule="atLeast"/>
              <w:ind w:leftChars="0" w:left="600" w:hanging="600"/>
              <w:jc w:val="both"/>
              <w:rPr>
                <w:rFonts w:ascii="標楷體" w:eastAsia="標楷體" w:hAnsi="標楷體"/>
                <w:sz w:val="28"/>
                <w:szCs w:val="28"/>
              </w:rPr>
            </w:pPr>
            <w:r w:rsidRPr="00CA5AE4">
              <w:rPr>
                <w:rFonts w:ascii="標楷體" w:eastAsia="標楷體" w:hAnsi="標楷體" w:hint="eastAsia"/>
                <w:sz w:val="28"/>
                <w:szCs w:val="28"/>
              </w:rPr>
              <w:t>兒少收養及監護權之調查訪視、成人(老人及身心障礙者)監護及輔助宣告之調查訪視。</w:t>
            </w:r>
          </w:p>
          <w:p w:rsidR="00D42D59" w:rsidRPr="00CA5AE4" w:rsidRDefault="007532D4" w:rsidP="00D42D59">
            <w:pPr>
              <w:pStyle w:val="a8"/>
              <w:numPr>
                <w:ilvl w:val="0"/>
                <w:numId w:val="1"/>
              </w:numPr>
              <w:spacing w:line="0" w:lineRule="atLeast"/>
              <w:ind w:leftChars="0" w:left="600" w:hanging="600"/>
              <w:jc w:val="both"/>
              <w:rPr>
                <w:rFonts w:ascii="標楷體" w:eastAsia="標楷體" w:hAnsi="標楷體"/>
                <w:sz w:val="28"/>
                <w:szCs w:val="28"/>
              </w:rPr>
            </w:pPr>
            <w:r w:rsidRPr="00CA5AE4">
              <w:rPr>
                <w:rFonts w:ascii="標楷體" w:eastAsia="標楷體" w:hAnsi="標楷體" w:hint="eastAsia"/>
                <w:sz w:val="28"/>
                <w:szCs w:val="28"/>
                <w:u w:val="single"/>
              </w:rPr>
              <w:t>辦理低收入戶、中低收入與弱勢家庭補助資格訪查及資格核定。</w:t>
            </w:r>
          </w:p>
          <w:p w:rsidR="007532D4" w:rsidRPr="00CA5AE4" w:rsidRDefault="007532D4" w:rsidP="00D42D59">
            <w:pPr>
              <w:pStyle w:val="a8"/>
              <w:numPr>
                <w:ilvl w:val="0"/>
                <w:numId w:val="1"/>
              </w:numPr>
              <w:spacing w:line="0" w:lineRule="atLeast"/>
              <w:ind w:leftChars="0" w:left="600" w:hanging="600"/>
              <w:jc w:val="both"/>
              <w:rPr>
                <w:rFonts w:ascii="標楷體" w:eastAsia="標楷體" w:hAnsi="標楷體"/>
                <w:sz w:val="28"/>
                <w:szCs w:val="28"/>
              </w:rPr>
            </w:pPr>
            <w:r w:rsidRPr="00CA5AE4">
              <w:rPr>
                <w:rFonts w:ascii="標楷體" w:eastAsia="標楷體" w:hAnsi="標楷體" w:hint="eastAsia"/>
                <w:sz w:val="28"/>
                <w:szCs w:val="28"/>
              </w:rPr>
              <w:t>執行災害救助工作。</w:t>
            </w:r>
          </w:p>
          <w:p w:rsidR="000B49D7" w:rsidRPr="00CA5AE4" w:rsidRDefault="000B49D7" w:rsidP="000B49D7">
            <w:pPr>
              <w:spacing w:line="0" w:lineRule="atLeast"/>
              <w:jc w:val="both"/>
              <w:rPr>
                <w:rFonts w:ascii="標楷體" w:eastAsia="標楷體" w:hAnsi="標楷體"/>
                <w:sz w:val="28"/>
                <w:szCs w:val="28"/>
              </w:rPr>
            </w:pPr>
          </w:p>
        </w:tc>
      </w:tr>
      <w:tr w:rsidR="00693787" w:rsidRPr="008651DE" w:rsidTr="00A45E71">
        <w:trPr>
          <w:trHeight w:val="10228"/>
        </w:trPr>
        <w:tc>
          <w:tcPr>
            <w:tcW w:w="1560" w:type="dxa"/>
            <w:vMerge/>
          </w:tcPr>
          <w:p w:rsidR="00693787" w:rsidRPr="00CA5AE4" w:rsidRDefault="00693787" w:rsidP="003E2AAB">
            <w:pPr>
              <w:spacing w:line="0" w:lineRule="atLeast"/>
              <w:rPr>
                <w:rFonts w:ascii="標楷體" w:eastAsia="標楷體" w:hAnsi="標楷體"/>
                <w:sz w:val="28"/>
                <w:szCs w:val="28"/>
              </w:rPr>
            </w:pPr>
          </w:p>
        </w:tc>
        <w:tc>
          <w:tcPr>
            <w:tcW w:w="3544" w:type="dxa"/>
            <w:vMerge/>
          </w:tcPr>
          <w:p w:rsidR="00693787" w:rsidRPr="00CA5AE4" w:rsidRDefault="00693787" w:rsidP="00930C83">
            <w:pPr>
              <w:spacing w:line="0" w:lineRule="atLeast"/>
              <w:ind w:left="599" w:hangingChars="214" w:hanging="599"/>
              <w:jc w:val="both"/>
              <w:rPr>
                <w:rFonts w:ascii="標楷體" w:eastAsia="標楷體" w:hAnsi="標楷體"/>
                <w:sz w:val="28"/>
                <w:szCs w:val="28"/>
              </w:rPr>
            </w:pPr>
          </w:p>
        </w:tc>
        <w:tc>
          <w:tcPr>
            <w:tcW w:w="4819" w:type="dxa"/>
          </w:tcPr>
          <w:p w:rsidR="00F03325" w:rsidRPr="00CA5AE4" w:rsidRDefault="00F03325" w:rsidP="00F03325">
            <w:pPr>
              <w:pStyle w:val="a8"/>
              <w:numPr>
                <w:ilvl w:val="0"/>
                <w:numId w:val="1"/>
              </w:numPr>
              <w:spacing w:line="300" w:lineRule="exact"/>
              <w:ind w:leftChars="0"/>
              <w:jc w:val="both"/>
              <w:rPr>
                <w:rFonts w:ascii="標楷體" w:eastAsia="標楷體" w:hAnsi="標楷體"/>
                <w:sz w:val="28"/>
                <w:szCs w:val="28"/>
              </w:rPr>
            </w:pPr>
            <w:r w:rsidRPr="00CA5AE4">
              <w:rPr>
                <w:rFonts w:ascii="標楷體" w:eastAsia="標楷體" w:hAnsi="標楷體" w:hint="eastAsia"/>
                <w:sz w:val="28"/>
                <w:szCs w:val="28"/>
              </w:rPr>
              <w:t>榮民、遺眷外訪工作，年長獨居榮民、遺眷個案之服務照顧。</w:t>
            </w:r>
          </w:p>
          <w:p w:rsidR="00F03325" w:rsidRPr="00CA5AE4" w:rsidRDefault="00F03325" w:rsidP="00F03325">
            <w:pPr>
              <w:pStyle w:val="a8"/>
              <w:numPr>
                <w:ilvl w:val="0"/>
                <w:numId w:val="1"/>
              </w:numPr>
              <w:spacing w:line="300" w:lineRule="exact"/>
              <w:ind w:leftChars="0"/>
              <w:jc w:val="both"/>
              <w:rPr>
                <w:rFonts w:ascii="標楷體" w:eastAsia="標楷體" w:hAnsi="標楷體"/>
                <w:sz w:val="28"/>
                <w:szCs w:val="28"/>
              </w:rPr>
            </w:pPr>
            <w:r w:rsidRPr="00CA5AE4">
              <w:rPr>
                <w:rFonts w:ascii="標楷體" w:eastAsia="標楷體" w:hAnsi="標楷體" w:hint="eastAsia"/>
                <w:sz w:val="28"/>
                <w:szCs w:val="28"/>
              </w:rPr>
              <w:t>就養榮民調查、評估、審核與驗證。</w:t>
            </w:r>
          </w:p>
          <w:p w:rsidR="00F03325" w:rsidRPr="00CA5AE4" w:rsidRDefault="00F03325" w:rsidP="00F03325">
            <w:pPr>
              <w:pStyle w:val="a8"/>
              <w:numPr>
                <w:ilvl w:val="0"/>
                <w:numId w:val="1"/>
              </w:numPr>
              <w:spacing w:line="300" w:lineRule="exact"/>
              <w:ind w:leftChars="0"/>
              <w:jc w:val="both"/>
              <w:rPr>
                <w:rFonts w:ascii="標楷體" w:eastAsia="標楷體" w:hAnsi="標楷體"/>
                <w:sz w:val="28"/>
                <w:szCs w:val="28"/>
              </w:rPr>
            </w:pPr>
            <w:r w:rsidRPr="00CA5AE4">
              <w:rPr>
                <w:rFonts w:ascii="標楷體" w:eastAsia="標楷體" w:hAnsi="標楷體" w:hint="eastAsia"/>
                <w:sz w:val="28"/>
                <w:szCs w:val="28"/>
              </w:rPr>
              <w:t>榮民與大陸</w:t>
            </w:r>
            <w:r w:rsidRPr="00CA5AE4">
              <w:rPr>
                <w:rFonts w:ascii="標楷體" w:eastAsia="標楷體" w:hAnsi="標楷體"/>
                <w:sz w:val="28"/>
                <w:szCs w:val="28"/>
              </w:rPr>
              <w:t>(</w:t>
            </w:r>
            <w:r w:rsidRPr="00CA5AE4">
              <w:rPr>
                <w:rFonts w:ascii="標楷體" w:eastAsia="標楷體" w:hAnsi="標楷體" w:hint="eastAsia"/>
                <w:sz w:val="28"/>
                <w:szCs w:val="28"/>
              </w:rPr>
              <w:t>外籍</w:t>
            </w:r>
            <w:r w:rsidRPr="00CA5AE4">
              <w:rPr>
                <w:rFonts w:ascii="標楷體" w:eastAsia="標楷體" w:hAnsi="標楷體"/>
                <w:sz w:val="28"/>
                <w:szCs w:val="28"/>
              </w:rPr>
              <w:t>)</w:t>
            </w:r>
            <w:r w:rsidRPr="00CA5AE4">
              <w:rPr>
                <w:rFonts w:ascii="標楷體" w:eastAsia="標楷體" w:hAnsi="標楷體" w:hint="eastAsia"/>
                <w:sz w:val="28"/>
                <w:szCs w:val="28"/>
              </w:rPr>
              <w:t>配偶婚姻異常家庭輔導。</w:t>
            </w:r>
          </w:p>
          <w:p w:rsidR="00F03325" w:rsidRPr="00CA5AE4" w:rsidRDefault="00F03325" w:rsidP="00F03325">
            <w:pPr>
              <w:numPr>
                <w:ilvl w:val="0"/>
                <w:numId w:val="1"/>
              </w:numPr>
              <w:spacing w:line="300" w:lineRule="exact"/>
              <w:jc w:val="both"/>
              <w:rPr>
                <w:rFonts w:ascii="標楷體" w:eastAsia="標楷體" w:hAnsi="標楷體"/>
                <w:sz w:val="28"/>
                <w:szCs w:val="28"/>
              </w:rPr>
            </w:pPr>
            <w:r w:rsidRPr="00CA5AE4">
              <w:rPr>
                <w:rFonts w:ascii="標楷體" w:eastAsia="標楷體" w:hAnsi="標楷體" w:hint="eastAsia"/>
                <w:sz w:val="28"/>
                <w:szCs w:val="28"/>
              </w:rPr>
              <w:t>孤苦無依、身心障礙榮民及遺眷之生活慰助、救助之調查評估。</w:t>
            </w:r>
          </w:p>
          <w:p w:rsidR="00F03325" w:rsidRPr="00CA5AE4" w:rsidRDefault="00F03325" w:rsidP="00F03325">
            <w:pPr>
              <w:numPr>
                <w:ilvl w:val="0"/>
                <w:numId w:val="1"/>
              </w:numPr>
              <w:spacing w:line="0" w:lineRule="atLeast"/>
              <w:ind w:left="882" w:hangingChars="315" w:hanging="882"/>
              <w:jc w:val="both"/>
              <w:rPr>
                <w:rFonts w:ascii="標楷體" w:eastAsia="標楷體" w:hAnsi="標楷體"/>
                <w:sz w:val="28"/>
                <w:szCs w:val="28"/>
              </w:rPr>
            </w:pPr>
            <w:r w:rsidRPr="00CA5AE4">
              <w:rPr>
                <w:rFonts w:ascii="標楷體" w:eastAsia="標楷體" w:hAnsi="標楷體" w:hint="eastAsia"/>
                <w:sz w:val="28"/>
                <w:szCs w:val="28"/>
              </w:rPr>
              <w:t>大陸來台單身榮民善後、遺產管理與繼承相關業務及爭訟事件處理。</w:t>
            </w:r>
          </w:p>
          <w:p w:rsidR="00F03325" w:rsidRPr="00CA5AE4" w:rsidRDefault="004765CE" w:rsidP="004765CE">
            <w:pPr>
              <w:numPr>
                <w:ilvl w:val="0"/>
                <w:numId w:val="1"/>
              </w:numPr>
              <w:spacing w:line="0" w:lineRule="atLeast"/>
              <w:ind w:left="882" w:hangingChars="315" w:hanging="882"/>
              <w:jc w:val="both"/>
              <w:rPr>
                <w:rFonts w:ascii="標楷體" w:eastAsia="標楷體" w:hAnsi="標楷體"/>
                <w:sz w:val="28"/>
                <w:szCs w:val="28"/>
              </w:rPr>
            </w:pPr>
            <w:r w:rsidRPr="00CA5AE4">
              <w:rPr>
                <w:rFonts w:ascii="標楷體" w:eastAsia="標楷體" w:hAnsi="標楷體" w:hint="eastAsia"/>
                <w:sz w:val="28"/>
                <w:szCs w:val="28"/>
              </w:rPr>
              <w:t>榮民</w:t>
            </w:r>
            <w:r w:rsidRPr="00CA5AE4">
              <w:rPr>
                <w:rFonts w:ascii="標楷體" w:eastAsia="標楷體" w:hAnsi="標楷體"/>
                <w:sz w:val="28"/>
                <w:szCs w:val="28"/>
              </w:rPr>
              <w:t>(</w:t>
            </w:r>
            <w:r w:rsidRPr="00CA5AE4">
              <w:rPr>
                <w:rFonts w:ascii="標楷體" w:eastAsia="標楷體" w:hAnsi="標楷體" w:hint="eastAsia"/>
                <w:sz w:val="28"/>
                <w:szCs w:val="28"/>
              </w:rPr>
              <w:t>眷</w:t>
            </w:r>
            <w:r w:rsidRPr="00CA5AE4">
              <w:rPr>
                <w:rFonts w:ascii="標楷體" w:eastAsia="標楷體" w:hAnsi="標楷體"/>
                <w:sz w:val="28"/>
                <w:szCs w:val="28"/>
              </w:rPr>
              <w:t>)</w:t>
            </w:r>
            <w:r w:rsidRPr="00CA5AE4">
              <w:rPr>
                <w:rFonts w:ascii="標楷體" w:eastAsia="標楷體" w:hAnsi="標楷體" w:hint="eastAsia"/>
                <w:sz w:val="28"/>
                <w:szCs w:val="28"/>
              </w:rPr>
              <w:t>危機個案處理、老人與身心障礙者保護案件之評估、關懷訪視處遇服務等直接服務工作</w:t>
            </w:r>
            <w:r w:rsidR="00F03325" w:rsidRPr="00CA5AE4">
              <w:rPr>
                <w:rFonts w:ascii="標楷體" w:eastAsia="標楷體" w:hAnsi="標楷體" w:hint="eastAsia"/>
                <w:sz w:val="28"/>
                <w:szCs w:val="28"/>
              </w:rPr>
              <w:t>。</w:t>
            </w:r>
          </w:p>
          <w:p w:rsidR="00F619D6" w:rsidRPr="00CA5AE4" w:rsidRDefault="00F619D6" w:rsidP="00F619D6">
            <w:pPr>
              <w:numPr>
                <w:ilvl w:val="0"/>
                <w:numId w:val="1"/>
              </w:numPr>
              <w:spacing w:line="0" w:lineRule="atLeast"/>
              <w:ind w:left="884" w:hanging="884"/>
              <w:jc w:val="both"/>
              <w:rPr>
                <w:rFonts w:ascii="標楷體" w:eastAsia="標楷體" w:hAnsi="標楷體"/>
                <w:sz w:val="28"/>
                <w:szCs w:val="28"/>
              </w:rPr>
            </w:pPr>
            <w:r w:rsidRPr="00CA5AE4">
              <w:rPr>
                <w:rFonts w:ascii="標楷體" w:eastAsia="標楷體" w:hAnsi="標楷體" w:hint="eastAsia"/>
                <w:sz w:val="28"/>
                <w:szCs w:val="28"/>
              </w:rPr>
              <w:t>針對介入性輔導仍無法有效協助，或重大違規行為之高級中等以下學生進行處遇性輔導，並配合其特殊需求，結合相關單位心理治療社會工作、家庭輔導、職能治療、法律服務、精神醫療各類專業服務。</w:t>
            </w:r>
          </w:p>
          <w:p w:rsidR="00F619D6" w:rsidRPr="00CA5AE4" w:rsidRDefault="0013593D" w:rsidP="00F619D6">
            <w:pPr>
              <w:numPr>
                <w:ilvl w:val="0"/>
                <w:numId w:val="1"/>
              </w:numPr>
              <w:spacing w:line="0" w:lineRule="atLeast"/>
              <w:ind w:left="884" w:hanging="884"/>
              <w:jc w:val="both"/>
              <w:rPr>
                <w:rFonts w:ascii="標楷體" w:eastAsia="標楷體" w:hAnsi="標楷體"/>
                <w:sz w:val="28"/>
                <w:szCs w:val="28"/>
              </w:rPr>
            </w:pPr>
            <w:r w:rsidRPr="00CA5AE4">
              <w:rPr>
                <w:rFonts w:ascii="標楷體" w:eastAsia="標楷體" w:hAnsi="標楷體" w:hint="eastAsia"/>
                <w:sz w:val="28"/>
                <w:szCs w:val="28"/>
              </w:rPr>
              <w:t>高關懷</w:t>
            </w:r>
            <w:r w:rsidR="00F619D6" w:rsidRPr="00CA5AE4">
              <w:rPr>
                <w:rFonts w:ascii="標楷體" w:eastAsia="標楷體" w:hAnsi="標楷體" w:hint="eastAsia"/>
                <w:sz w:val="28"/>
                <w:szCs w:val="28"/>
              </w:rPr>
              <w:t>家庭學生及兒少保護個案學生就學之心理評估、家庭、社會環境之評估、輔導諮商及資源轉介服務。</w:t>
            </w:r>
          </w:p>
          <w:p w:rsidR="00666EF3" w:rsidRPr="00CA5AE4" w:rsidRDefault="00693787" w:rsidP="00666EF3">
            <w:pPr>
              <w:numPr>
                <w:ilvl w:val="0"/>
                <w:numId w:val="1"/>
              </w:numPr>
              <w:spacing w:line="0" w:lineRule="atLeast"/>
              <w:ind w:left="884" w:hanging="884"/>
              <w:jc w:val="both"/>
              <w:rPr>
                <w:rFonts w:ascii="標楷體" w:eastAsia="標楷體" w:hAnsi="標楷體"/>
                <w:sz w:val="28"/>
                <w:szCs w:val="28"/>
              </w:rPr>
            </w:pPr>
            <w:r w:rsidRPr="00CA5AE4">
              <w:rPr>
                <w:rFonts w:ascii="標楷體" w:eastAsia="標楷體" w:hAnsi="標楷體" w:hint="eastAsia"/>
                <w:sz w:val="28"/>
                <w:szCs w:val="28"/>
              </w:rPr>
              <w:t>辦理原住民族家庭諮詢服務、個案管理與轉介、追蹤輔導之直接服務工作。</w:t>
            </w:r>
          </w:p>
          <w:p w:rsidR="00693787" w:rsidRPr="00CA5AE4" w:rsidRDefault="00693787" w:rsidP="00666EF3">
            <w:pPr>
              <w:numPr>
                <w:ilvl w:val="0"/>
                <w:numId w:val="1"/>
              </w:numPr>
              <w:spacing w:line="0" w:lineRule="atLeast"/>
              <w:ind w:left="884" w:hanging="884"/>
              <w:jc w:val="both"/>
              <w:rPr>
                <w:rFonts w:ascii="標楷體" w:eastAsia="標楷體" w:hAnsi="標楷體"/>
                <w:sz w:val="28"/>
                <w:szCs w:val="28"/>
              </w:rPr>
            </w:pPr>
            <w:r w:rsidRPr="00CA5AE4">
              <w:rPr>
                <w:rFonts w:ascii="標楷體" w:eastAsia="標楷體" w:hAnsi="標楷體" w:hint="eastAsia"/>
                <w:sz w:val="28"/>
                <w:szCs w:val="28"/>
              </w:rPr>
              <w:t>辦理原住民族地區及都會聚落外展服務工作。</w:t>
            </w:r>
          </w:p>
          <w:p w:rsidR="008F28B7" w:rsidRPr="00CA5AE4" w:rsidRDefault="008F28B7" w:rsidP="00693787">
            <w:pPr>
              <w:spacing w:line="0" w:lineRule="atLeast"/>
              <w:ind w:left="882" w:hangingChars="315" w:hanging="882"/>
              <w:jc w:val="both"/>
              <w:rPr>
                <w:rFonts w:ascii="標楷體" w:eastAsia="標楷體" w:hAnsi="標楷體"/>
                <w:sz w:val="28"/>
                <w:szCs w:val="28"/>
              </w:rPr>
            </w:pPr>
          </w:p>
        </w:tc>
      </w:tr>
    </w:tbl>
    <w:p w:rsidR="003E2AAB" w:rsidRPr="007D06BA" w:rsidRDefault="003E2AAB" w:rsidP="007D06BA"/>
    <w:sectPr w:rsidR="003E2AAB" w:rsidRPr="007D06BA">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88A" w:rsidRDefault="0065188A" w:rsidP="00023868">
      <w:r>
        <w:separator/>
      </w:r>
    </w:p>
  </w:endnote>
  <w:endnote w:type="continuationSeparator" w:id="0">
    <w:p w:rsidR="0065188A" w:rsidRDefault="0065188A" w:rsidP="0002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212669"/>
      <w:docPartObj>
        <w:docPartGallery w:val="Page Numbers (Bottom of Page)"/>
        <w:docPartUnique/>
      </w:docPartObj>
    </w:sdtPr>
    <w:sdtEndPr/>
    <w:sdtContent>
      <w:p w:rsidR="000E4FA5" w:rsidRDefault="000E4FA5">
        <w:pPr>
          <w:pStyle w:val="a6"/>
          <w:jc w:val="center"/>
        </w:pPr>
        <w:r>
          <w:fldChar w:fldCharType="begin"/>
        </w:r>
        <w:r>
          <w:instrText>PAGE   \* MERGEFORMAT</w:instrText>
        </w:r>
        <w:r>
          <w:fldChar w:fldCharType="separate"/>
        </w:r>
        <w:r w:rsidR="00CA5AE4" w:rsidRPr="00CA5AE4">
          <w:rPr>
            <w:noProof/>
            <w:lang w:val="zh-TW"/>
          </w:rPr>
          <w:t>2</w:t>
        </w:r>
        <w:r>
          <w:fldChar w:fldCharType="end"/>
        </w:r>
      </w:p>
    </w:sdtContent>
  </w:sdt>
  <w:p w:rsidR="000E4FA5" w:rsidRDefault="000E4F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88A" w:rsidRDefault="0065188A" w:rsidP="00023868">
      <w:r>
        <w:separator/>
      </w:r>
    </w:p>
  </w:footnote>
  <w:footnote w:type="continuationSeparator" w:id="0">
    <w:p w:rsidR="0065188A" w:rsidRDefault="0065188A" w:rsidP="00023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F2589"/>
    <w:multiLevelType w:val="hybridMultilevel"/>
    <w:tmpl w:val="E7A8BFCA"/>
    <w:lvl w:ilvl="0" w:tplc="3D1EF306">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 w15:restartNumberingAfterBreak="0">
    <w:nsid w:val="27B1678B"/>
    <w:multiLevelType w:val="hybridMultilevel"/>
    <w:tmpl w:val="E7A8BFCA"/>
    <w:lvl w:ilvl="0" w:tplc="3D1EF306">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 w15:restartNumberingAfterBreak="0">
    <w:nsid w:val="28C716E7"/>
    <w:multiLevelType w:val="hybridMultilevel"/>
    <w:tmpl w:val="60B0C23C"/>
    <w:lvl w:ilvl="0" w:tplc="131ED1F8">
      <w:start w:val="1"/>
      <w:numFmt w:val="taiwaneseCountingThousand"/>
      <w:lvlText w:val="(%1)"/>
      <w:lvlJc w:val="left"/>
      <w:pPr>
        <w:ind w:left="516" w:hanging="480"/>
      </w:pPr>
      <w:rPr>
        <w:rFonts w:hint="eastAsia"/>
        <w:color w:val="auto"/>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3" w15:restartNumberingAfterBreak="0">
    <w:nsid w:val="31263AEF"/>
    <w:multiLevelType w:val="hybridMultilevel"/>
    <w:tmpl w:val="5EE0288A"/>
    <w:lvl w:ilvl="0" w:tplc="778237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7574B7"/>
    <w:multiLevelType w:val="hybridMultilevel"/>
    <w:tmpl w:val="6C7084AE"/>
    <w:lvl w:ilvl="0" w:tplc="52DE9A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721010A"/>
    <w:multiLevelType w:val="hybridMultilevel"/>
    <w:tmpl w:val="04E07F18"/>
    <w:lvl w:ilvl="0" w:tplc="BDD62AE2">
      <w:start w:val="1"/>
      <w:numFmt w:val="taiwaneseCountingThousand"/>
      <w:lvlText w:val="%1、"/>
      <w:lvlJc w:val="left"/>
      <w:pPr>
        <w:tabs>
          <w:tab w:val="num" w:pos="720"/>
        </w:tabs>
        <w:ind w:left="720" w:hanging="720"/>
      </w:pPr>
      <w:rPr>
        <w:rFonts w:hint="default"/>
        <w:color w:val="FF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479725CD"/>
    <w:multiLevelType w:val="hybridMultilevel"/>
    <w:tmpl w:val="F4DA04A6"/>
    <w:lvl w:ilvl="0" w:tplc="BDD62AE2">
      <w:start w:val="1"/>
      <w:numFmt w:val="taiwaneseCountingThousand"/>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7175D5"/>
    <w:multiLevelType w:val="hybridMultilevel"/>
    <w:tmpl w:val="6A06D098"/>
    <w:lvl w:ilvl="0" w:tplc="204A2E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F5D7794"/>
    <w:multiLevelType w:val="hybridMultilevel"/>
    <w:tmpl w:val="95A0BB28"/>
    <w:lvl w:ilvl="0" w:tplc="6122B4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DDE4D47"/>
    <w:multiLevelType w:val="hybridMultilevel"/>
    <w:tmpl w:val="E69A4B04"/>
    <w:lvl w:ilvl="0" w:tplc="6A8856A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66B5CB9"/>
    <w:multiLevelType w:val="hybridMultilevel"/>
    <w:tmpl w:val="E7A8BFCA"/>
    <w:lvl w:ilvl="0" w:tplc="3D1EF306">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num w:numId="1">
    <w:abstractNumId w:val="9"/>
  </w:num>
  <w:num w:numId="2">
    <w:abstractNumId w:val="3"/>
  </w:num>
  <w:num w:numId="3">
    <w:abstractNumId w:val="0"/>
  </w:num>
  <w:num w:numId="4">
    <w:abstractNumId w:val="10"/>
  </w:num>
  <w:num w:numId="5">
    <w:abstractNumId w:val="7"/>
  </w:num>
  <w:num w:numId="6">
    <w:abstractNumId w:val="1"/>
  </w:num>
  <w:num w:numId="7">
    <w:abstractNumId w:val="8"/>
  </w:num>
  <w:num w:numId="8">
    <w:abstractNumId w:val="4"/>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0F"/>
    <w:rsid w:val="00004E17"/>
    <w:rsid w:val="00010D9C"/>
    <w:rsid w:val="000203B9"/>
    <w:rsid w:val="00023868"/>
    <w:rsid w:val="00035AB4"/>
    <w:rsid w:val="000725FE"/>
    <w:rsid w:val="00085867"/>
    <w:rsid w:val="00093542"/>
    <w:rsid w:val="000B49D7"/>
    <w:rsid w:val="000B4D39"/>
    <w:rsid w:val="000C7D91"/>
    <w:rsid w:val="000D7AA4"/>
    <w:rsid w:val="000E1C06"/>
    <w:rsid w:val="000E4FA5"/>
    <w:rsid w:val="0010412D"/>
    <w:rsid w:val="0011263A"/>
    <w:rsid w:val="00116DD9"/>
    <w:rsid w:val="001277A9"/>
    <w:rsid w:val="00133C53"/>
    <w:rsid w:val="0013593D"/>
    <w:rsid w:val="00141C87"/>
    <w:rsid w:val="001426C6"/>
    <w:rsid w:val="00150673"/>
    <w:rsid w:val="001A33EC"/>
    <w:rsid w:val="001C019B"/>
    <w:rsid w:val="001C7C90"/>
    <w:rsid w:val="001D3E25"/>
    <w:rsid w:val="002048B0"/>
    <w:rsid w:val="00204B1A"/>
    <w:rsid w:val="00224C0E"/>
    <w:rsid w:val="00244157"/>
    <w:rsid w:val="002448F9"/>
    <w:rsid w:val="00250B00"/>
    <w:rsid w:val="00262B31"/>
    <w:rsid w:val="00265105"/>
    <w:rsid w:val="002657C2"/>
    <w:rsid w:val="002A221A"/>
    <w:rsid w:val="002C1227"/>
    <w:rsid w:val="002D463F"/>
    <w:rsid w:val="002E3B77"/>
    <w:rsid w:val="00301B5E"/>
    <w:rsid w:val="003107DE"/>
    <w:rsid w:val="00313AC5"/>
    <w:rsid w:val="00334B2D"/>
    <w:rsid w:val="00353B4D"/>
    <w:rsid w:val="003621C7"/>
    <w:rsid w:val="00363AEB"/>
    <w:rsid w:val="003660EF"/>
    <w:rsid w:val="00371DFE"/>
    <w:rsid w:val="00375475"/>
    <w:rsid w:val="00375932"/>
    <w:rsid w:val="00380D27"/>
    <w:rsid w:val="003A6AF9"/>
    <w:rsid w:val="003C0007"/>
    <w:rsid w:val="003E2AAB"/>
    <w:rsid w:val="003F3E36"/>
    <w:rsid w:val="00402225"/>
    <w:rsid w:val="004025F7"/>
    <w:rsid w:val="00423943"/>
    <w:rsid w:val="004765CE"/>
    <w:rsid w:val="004912DF"/>
    <w:rsid w:val="00496263"/>
    <w:rsid w:val="004B4332"/>
    <w:rsid w:val="004C596E"/>
    <w:rsid w:val="004D6ECF"/>
    <w:rsid w:val="004D7576"/>
    <w:rsid w:val="004E656C"/>
    <w:rsid w:val="0050619A"/>
    <w:rsid w:val="0052050A"/>
    <w:rsid w:val="00524F11"/>
    <w:rsid w:val="00526C60"/>
    <w:rsid w:val="00536A89"/>
    <w:rsid w:val="005741B8"/>
    <w:rsid w:val="005849BC"/>
    <w:rsid w:val="00590DBA"/>
    <w:rsid w:val="0059574F"/>
    <w:rsid w:val="005A04F7"/>
    <w:rsid w:val="005B37F5"/>
    <w:rsid w:val="005D438B"/>
    <w:rsid w:val="005D46DF"/>
    <w:rsid w:val="00607A70"/>
    <w:rsid w:val="006222DF"/>
    <w:rsid w:val="0064064D"/>
    <w:rsid w:val="0064424C"/>
    <w:rsid w:val="00650E48"/>
    <w:rsid w:val="0065188A"/>
    <w:rsid w:val="006575DA"/>
    <w:rsid w:val="006643A9"/>
    <w:rsid w:val="00666EF3"/>
    <w:rsid w:val="006701C6"/>
    <w:rsid w:val="00671953"/>
    <w:rsid w:val="00673883"/>
    <w:rsid w:val="00675E2C"/>
    <w:rsid w:val="00693787"/>
    <w:rsid w:val="006956EC"/>
    <w:rsid w:val="006A2C9B"/>
    <w:rsid w:val="006B0CDB"/>
    <w:rsid w:val="006B3251"/>
    <w:rsid w:val="006B3C0E"/>
    <w:rsid w:val="006B3DFD"/>
    <w:rsid w:val="006C254D"/>
    <w:rsid w:val="006C56F3"/>
    <w:rsid w:val="006D327B"/>
    <w:rsid w:val="006E049C"/>
    <w:rsid w:val="006E6A8E"/>
    <w:rsid w:val="006F4184"/>
    <w:rsid w:val="007007C1"/>
    <w:rsid w:val="00703731"/>
    <w:rsid w:val="00705D8A"/>
    <w:rsid w:val="007061EF"/>
    <w:rsid w:val="00712260"/>
    <w:rsid w:val="007137E4"/>
    <w:rsid w:val="007242B4"/>
    <w:rsid w:val="00750AE9"/>
    <w:rsid w:val="007526D8"/>
    <w:rsid w:val="007532D4"/>
    <w:rsid w:val="00766788"/>
    <w:rsid w:val="007742FB"/>
    <w:rsid w:val="0078549D"/>
    <w:rsid w:val="00791780"/>
    <w:rsid w:val="007924E2"/>
    <w:rsid w:val="007D06BA"/>
    <w:rsid w:val="007F21BC"/>
    <w:rsid w:val="007F7865"/>
    <w:rsid w:val="007F7F36"/>
    <w:rsid w:val="00805341"/>
    <w:rsid w:val="00807BF4"/>
    <w:rsid w:val="00811199"/>
    <w:rsid w:val="008126CF"/>
    <w:rsid w:val="008159B6"/>
    <w:rsid w:val="0082529C"/>
    <w:rsid w:val="00845776"/>
    <w:rsid w:val="0084594F"/>
    <w:rsid w:val="00853B01"/>
    <w:rsid w:val="008651DE"/>
    <w:rsid w:val="008653BA"/>
    <w:rsid w:val="00875068"/>
    <w:rsid w:val="00880BE2"/>
    <w:rsid w:val="008949FE"/>
    <w:rsid w:val="008B644A"/>
    <w:rsid w:val="008B7267"/>
    <w:rsid w:val="008B788E"/>
    <w:rsid w:val="008C2A55"/>
    <w:rsid w:val="008E36FF"/>
    <w:rsid w:val="008E5E5F"/>
    <w:rsid w:val="008F28B7"/>
    <w:rsid w:val="008F58BF"/>
    <w:rsid w:val="00900181"/>
    <w:rsid w:val="00930C83"/>
    <w:rsid w:val="00931D41"/>
    <w:rsid w:val="00934D8B"/>
    <w:rsid w:val="009369B3"/>
    <w:rsid w:val="0094256F"/>
    <w:rsid w:val="0095313F"/>
    <w:rsid w:val="00962D11"/>
    <w:rsid w:val="00982A4F"/>
    <w:rsid w:val="009830C8"/>
    <w:rsid w:val="009936D3"/>
    <w:rsid w:val="009A097A"/>
    <w:rsid w:val="009B2665"/>
    <w:rsid w:val="009B2994"/>
    <w:rsid w:val="009B3DCA"/>
    <w:rsid w:val="009C1701"/>
    <w:rsid w:val="009F699D"/>
    <w:rsid w:val="00A32C7B"/>
    <w:rsid w:val="00A36D9D"/>
    <w:rsid w:val="00A370D1"/>
    <w:rsid w:val="00A4167B"/>
    <w:rsid w:val="00A62C99"/>
    <w:rsid w:val="00A62EBB"/>
    <w:rsid w:val="00A711BA"/>
    <w:rsid w:val="00A719F5"/>
    <w:rsid w:val="00A72E33"/>
    <w:rsid w:val="00A87FE6"/>
    <w:rsid w:val="00AA68B8"/>
    <w:rsid w:val="00B024C7"/>
    <w:rsid w:val="00B15A20"/>
    <w:rsid w:val="00B51709"/>
    <w:rsid w:val="00B52CAB"/>
    <w:rsid w:val="00B63CDA"/>
    <w:rsid w:val="00B85BF9"/>
    <w:rsid w:val="00BB7177"/>
    <w:rsid w:val="00BE65EA"/>
    <w:rsid w:val="00BF75BA"/>
    <w:rsid w:val="00C048DC"/>
    <w:rsid w:val="00C07BE0"/>
    <w:rsid w:val="00C43093"/>
    <w:rsid w:val="00C47C2E"/>
    <w:rsid w:val="00C541E0"/>
    <w:rsid w:val="00C552B5"/>
    <w:rsid w:val="00C605ED"/>
    <w:rsid w:val="00C627F7"/>
    <w:rsid w:val="00C84BDF"/>
    <w:rsid w:val="00C86BDF"/>
    <w:rsid w:val="00C9360C"/>
    <w:rsid w:val="00C9607D"/>
    <w:rsid w:val="00CA5AE4"/>
    <w:rsid w:val="00CC14A3"/>
    <w:rsid w:val="00CF307F"/>
    <w:rsid w:val="00D00171"/>
    <w:rsid w:val="00D01765"/>
    <w:rsid w:val="00D05527"/>
    <w:rsid w:val="00D10C48"/>
    <w:rsid w:val="00D208C8"/>
    <w:rsid w:val="00D253F3"/>
    <w:rsid w:val="00D41F0F"/>
    <w:rsid w:val="00D42D59"/>
    <w:rsid w:val="00D45CDD"/>
    <w:rsid w:val="00D55F33"/>
    <w:rsid w:val="00D73C00"/>
    <w:rsid w:val="00D740CE"/>
    <w:rsid w:val="00D94119"/>
    <w:rsid w:val="00DA36C1"/>
    <w:rsid w:val="00DB3AD4"/>
    <w:rsid w:val="00DC59E1"/>
    <w:rsid w:val="00DE147D"/>
    <w:rsid w:val="00E019C8"/>
    <w:rsid w:val="00E05170"/>
    <w:rsid w:val="00E22130"/>
    <w:rsid w:val="00E50DD5"/>
    <w:rsid w:val="00E52404"/>
    <w:rsid w:val="00E529F9"/>
    <w:rsid w:val="00EA5D2C"/>
    <w:rsid w:val="00EB03EE"/>
    <w:rsid w:val="00EB747B"/>
    <w:rsid w:val="00EB7872"/>
    <w:rsid w:val="00ED5028"/>
    <w:rsid w:val="00ED5796"/>
    <w:rsid w:val="00EE0DC6"/>
    <w:rsid w:val="00F03325"/>
    <w:rsid w:val="00F4731C"/>
    <w:rsid w:val="00F52114"/>
    <w:rsid w:val="00F527DA"/>
    <w:rsid w:val="00F5676D"/>
    <w:rsid w:val="00F619D6"/>
    <w:rsid w:val="00F63C03"/>
    <w:rsid w:val="00F720C1"/>
    <w:rsid w:val="00FC5348"/>
    <w:rsid w:val="00FE233F"/>
    <w:rsid w:val="00FE55CC"/>
    <w:rsid w:val="00FE699F"/>
    <w:rsid w:val="00FE735F"/>
    <w:rsid w:val="00FF11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B24785-1E80-4CA7-B840-3EA3858E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3"/>
    <w:uiPriority w:val="59"/>
    <w:rsid w:val="003E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uiPriority w:val="59"/>
    <w:rsid w:val="003E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3868"/>
    <w:pPr>
      <w:tabs>
        <w:tab w:val="center" w:pos="4153"/>
        <w:tab w:val="right" w:pos="8306"/>
      </w:tabs>
      <w:snapToGrid w:val="0"/>
    </w:pPr>
    <w:rPr>
      <w:sz w:val="20"/>
      <w:szCs w:val="20"/>
    </w:rPr>
  </w:style>
  <w:style w:type="character" w:customStyle="1" w:styleId="a5">
    <w:name w:val="頁首 字元"/>
    <w:basedOn w:val="a0"/>
    <w:link w:val="a4"/>
    <w:uiPriority w:val="99"/>
    <w:rsid w:val="00023868"/>
    <w:rPr>
      <w:sz w:val="20"/>
      <w:szCs w:val="20"/>
    </w:rPr>
  </w:style>
  <w:style w:type="paragraph" w:styleId="a6">
    <w:name w:val="footer"/>
    <w:basedOn w:val="a"/>
    <w:link w:val="a7"/>
    <w:uiPriority w:val="99"/>
    <w:unhideWhenUsed/>
    <w:rsid w:val="00023868"/>
    <w:pPr>
      <w:tabs>
        <w:tab w:val="center" w:pos="4153"/>
        <w:tab w:val="right" w:pos="8306"/>
      </w:tabs>
      <w:snapToGrid w:val="0"/>
    </w:pPr>
    <w:rPr>
      <w:sz w:val="20"/>
      <w:szCs w:val="20"/>
    </w:rPr>
  </w:style>
  <w:style w:type="character" w:customStyle="1" w:styleId="a7">
    <w:name w:val="頁尾 字元"/>
    <w:basedOn w:val="a0"/>
    <w:link w:val="a6"/>
    <w:uiPriority w:val="99"/>
    <w:rsid w:val="00023868"/>
    <w:rPr>
      <w:sz w:val="20"/>
      <w:szCs w:val="20"/>
    </w:rPr>
  </w:style>
  <w:style w:type="paragraph" w:styleId="a8">
    <w:name w:val="List Paragraph"/>
    <w:basedOn w:val="a"/>
    <w:uiPriority w:val="34"/>
    <w:qFormat/>
    <w:rsid w:val="00880BE2"/>
    <w:pPr>
      <w:ind w:leftChars="200" w:left="480"/>
    </w:pPr>
  </w:style>
  <w:style w:type="paragraph" w:styleId="a9">
    <w:name w:val="Balloon Text"/>
    <w:basedOn w:val="a"/>
    <w:link w:val="aa"/>
    <w:uiPriority w:val="99"/>
    <w:semiHidden/>
    <w:unhideWhenUsed/>
    <w:rsid w:val="00EB03E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B03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D4AA1-B513-48CF-809B-3517F6AA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W78</dc:creator>
  <cp:lastModifiedBy>王興彬</cp:lastModifiedBy>
  <cp:revision>32</cp:revision>
  <cp:lastPrinted>2015-08-28T03:17:00Z</cp:lastPrinted>
  <dcterms:created xsi:type="dcterms:W3CDTF">2016-01-21T08:57:00Z</dcterms:created>
  <dcterms:modified xsi:type="dcterms:W3CDTF">2017-01-23T03:38:00Z</dcterms:modified>
</cp:coreProperties>
</file>