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9.5pt" o:ole="">
                  <v:imagedata r:id="rId8" o:title=""/>
                </v:shape>
                <w:control r:id="rId9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50FB7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20.25pt;height:19.5pt" o:ole="">
                  <v:imagedata r:id="rId10" o:title=""/>
                </v:shape>
                <w:control r:id="rId11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20.25pt;height:19.5pt" o:ole="">
                  <v:imagedata r:id="rId10" o:title=""/>
                </v:shape>
                <w:control r:id="rId12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20.25pt;height:19.5pt" o:ole="">
                  <v:imagedata r:id="rId8" o:title=""/>
                </v:shape>
                <w:control r:id="rId13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50FB7">
              <w:rPr>
                <w:rFonts w:ascii="標楷體" w:eastAsia="標楷體" w:hAnsi="標楷體" w:hint="eastAsia"/>
              </w:rPr>
              <w:t>蘋果劇團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3B060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350FB7">
              <w:rPr>
                <w:rFonts w:ascii="標楷體" w:eastAsia="標楷體" w:hAnsi="標楷體" w:hint="eastAsia"/>
              </w:rPr>
              <w:t>年</w:t>
            </w:r>
            <w:r w:rsidR="00413BBE">
              <w:rPr>
                <w:rFonts w:ascii="標楷體" w:eastAsia="標楷體" w:hAnsi="標楷體" w:hint="eastAsia"/>
              </w:rPr>
              <w:t>9</w:t>
            </w:r>
            <w:r w:rsidR="00350FB7">
              <w:rPr>
                <w:rFonts w:ascii="標楷體" w:eastAsia="標楷體" w:hAnsi="標楷體" w:hint="eastAsia"/>
              </w:rPr>
              <w:t>月</w:t>
            </w:r>
            <w:r w:rsidR="00413BBE">
              <w:rPr>
                <w:rFonts w:ascii="標楷體" w:eastAsia="標楷體" w:hAnsi="標楷體" w:hint="eastAsia"/>
              </w:rPr>
              <w:t>7</w:t>
            </w:r>
            <w:r w:rsidR="00350F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B515E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蘋果劇團兒童劇表演暨兒童性別平等宣導活動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20.25pt;height:19.5pt" o:ole="">
                  <v:imagedata r:id="rId10" o:title=""/>
                </v:shape>
                <w:control r:id="rId14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20.25pt;height:19.5pt" o:ole="">
                  <v:imagedata r:id="rId10" o:title=""/>
                </v:shape>
                <w:control r:id="rId15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20.25pt;height:19.5pt" o:ole="">
                  <v:imagedata r:id="rId10" o:title=""/>
                </v:shape>
                <w:control r:id="rId16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9.5pt" o:ole="">
                  <v:imagedata r:id="rId8" o:title=""/>
                </v:shape>
                <w:control r:id="rId17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20.25pt;height:19.5pt" o:ole="">
                  <v:imagedata r:id="rId10" o:title=""/>
                </v:shape>
                <w:control r:id="rId18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20.25pt;height:19.5pt" o:ole="">
                  <v:imagedata r:id="rId10" o:title=""/>
                </v:shape>
                <w:control r:id="rId19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20.25pt;height:19.5pt" o:ole="">
                  <v:imagedata r:id="rId10" o:title=""/>
                </v:shape>
                <w:control r:id="rId20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9.5pt" o:ole="">
                  <v:imagedata r:id="rId10" o:title=""/>
                </v:shape>
                <w:control r:id="rId21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9.5pt" o:ole="">
                  <v:imagedata r:id="rId10" o:title=""/>
                </v:shape>
                <w:control r:id="rId22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9.5pt" o:ole="">
                  <v:imagedata r:id="rId8" o:title=""/>
                </v:shape>
                <w:control r:id="rId23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9.5pt" o:ole="">
                  <v:imagedata r:id="rId10" o:title=""/>
                </v:shape>
                <w:control r:id="rId24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20.25pt;height:19.5pt" o:ole="">
                  <v:imagedata r:id="rId10" o:title=""/>
                </v:shape>
                <w:control r:id="rId25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9.5pt" o:ole="">
                  <v:imagedata r:id="rId10" o:title=""/>
                </v:shape>
                <w:control r:id="rId26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9.5pt" o:ole="">
                  <v:imagedata r:id="rId10" o:title=""/>
                </v:shape>
                <w:control r:id="rId27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9.5pt" o:ole="">
                  <v:imagedata r:id="rId10" o:title=""/>
                </v:shape>
                <w:control r:id="rId28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25pt;height:19.5pt" o:ole="">
                  <v:imagedata r:id="rId10" o:title=""/>
                </v:shape>
                <w:control r:id="rId29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9.5pt" o:ole="">
                  <v:imagedata r:id="rId10" o:title=""/>
                </v:shape>
                <w:control r:id="rId30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9.5pt" o:ole="">
                  <v:imagedata r:id="rId10" o:title=""/>
                </v:shape>
                <w:control r:id="rId31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447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透過兒童劇表演的機會，</w:t>
            </w:r>
            <w:r w:rsidR="002674DE">
              <w:rPr>
                <w:rFonts w:ascii="標楷體" w:eastAsia="標楷體" w:hAnsi="標楷體" w:hint="eastAsia"/>
              </w:rPr>
              <w:t>向兒童宣達保護自己身體的重要性，以及如果遇到性騷擾該如何反應及通報相關單位，進而培力兒童正確的性別意識。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226F7" w:rsidP="00B22D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藉由宣導影片及</w:t>
            </w:r>
            <w:r w:rsidR="00B22D04">
              <w:rPr>
                <w:rFonts w:ascii="標楷體" w:eastAsia="標楷體" w:hAnsi="標楷體" w:hint="eastAsia"/>
              </w:rPr>
              <w:t>趣味</w:t>
            </w:r>
            <w:r>
              <w:rPr>
                <w:rFonts w:ascii="標楷體" w:eastAsia="標楷體" w:hAnsi="標楷體" w:hint="eastAsia"/>
              </w:rPr>
              <w:t>問答</w:t>
            </w:r>
            <w:r w:rsidR="00B22D04">
              <w:rPr>
                <w:rFonts w:ascii="標楷體" w:eastAsia="標楷體" w:hAnsi="標楷體" w:hint="eastAsia"/>
              </w:rPr>
              <w:t>活動宣導兒童性別意識及讓性別平等的觀念扎根於兒童</w:t>
            </w:r>
            <w:r w:rsidR="00350FB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2C65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2C65C0">
              <w:rPr>
                <w:rFonts w:ascii="標楷體" w:eastAsia="標楷體" w:hAnsi="標楷體" w:hint="eastAsia"/>
              </w:rPr>
              <w:t>約</w:t>
            </w:r>
            <w:r w:rsidR="00B22D04">
              <w:rPr>
                <w:rFonts w:ascii="標楷體" w:eastAsia="標楷體" w:hAnsi="標楷體" w:hint="eastAsia"/>
              </w:rPr>
              <w:t>9</w:t>
            </w:r>
            <w:r w:rsidR="002C65C0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>
              <w:rPr>
                <w:rFonts w:ascii="標楷體" w:eastAsia="標楷體" w:hAnsi="標楷體" w:hint="eastAsia"/>
              </w:rPr>
              <w:t>_</w:t>
            </w:r>
            <w:r w:rsidR="00940A4B">
              <w:rPr>
                <w:rFonts w:ascii="標楷體" w:eastAsia="標楷體" w:hAnsi="標楷體" w:hint="eastAsia"/>
              </w:rPr>
              <w:t>2</w:t>
            </w:r>
            <w:r w:rsidR="002674DE">
              <w:rPr>
                <w:rFonts w:ascii="標楷體" w:eastAsia="標楷體" w:hAnsi="標楷體" w:hint="eastAsia"/>
              </w:rPr>
              <w:t>43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>
              <w:rPr>
                <w:rFonts w:ascii="標楷體" w:eastAsia="標楷體" w:hAnsi="標楷體" w:hint="eastAsia"/>
              </w:rPr>
              <w:t>_</w:t>
            </w:r>
            <w:r w:rsidR="00940A4B">
              <w:rPr>
                <w:rFonts w:ascii="標楷體" w:eastAsia="標楷體" w:hAnsi="標楷體" w:hint="eastAsia"/>
              </w:rPr>
              <w:t>6</w:t>
            </w:r>
            <w:r w:rsidR="002674DE">
              <w:rPr>
                <w:rFonts w:ascii="標楷體" w:eastAsia="標楷體" w:hAnsi="標楷體" w:hint="eastAsia"/>
              </w:rPr>
              <w:t>57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B22D04" w:rsidRDefault="00B22D04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圖1：宣導影片內容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07942DB" wp14:editId="7706B26F">
                  <wp:extent cx="3084830" cy="231394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_20190907_140240_vHDR_Auto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0D1ECF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圖2：民眾熱烈參與問答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CBB4BC" wp14:editId="2DE18C4E">
                  <wp:extent cx="3084830" cy="231394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_20190907_142509_vHDR_Aut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圖3：</w:t>
            </w:r>
            <w:r w:rsidR="00BF16EE">
              <w:rPr>
                <w:rFonts w:ascii="標楷體" w:eastAsia="標楷體" w:hAnsi="標楷體" w:hint="eastAsia"/>
              </w:rPr>
              <w:t>活動現場宣導</w:t>
            </w:r>
            <w:r w:rsidR="002674DE">
              <w:rPr>
                <w:rFonts w:ascii="標楷體" w:eastAsia="標楷體" w:hAnsi="標楷體" w:hint="eastAsia"/>
              </w:rPr>
              <w:t>海報</w:t>
            </w: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0BC429" wp14:editId="27714DA2">
                  <wp:extent cx="3084830" cy="231394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_20190907_134222_vHDR_Auto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674DE" w:rsidRDefault="002674D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2650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0138B8" w:rsidRPr="00341B95" w:rsidRDefault="00485D65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hyperlink r:id="rId35" w:history="1">
              <w:r>
                <w:rPr>
                  <w:rStyle w:val="ac"/>
                </w:rPr>
                <w:t>https://www.facebook.com/pingzhen.tycg.gov/photos/a.305791169860123/738586239913945/?type=3&amp;theater</w:t>
              </w:r>
            </w:hyperlink>
            <w:bookmarkStart w:id="0" w:name="_GoBack"/>
            <w:bookmarkEnd w:id="0"/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平鎮區公所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徐慈筠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4572105 #221</w:t>
            </w:r>
            <w:r w:rsidR="000138B8">
              <w:rPr>
                <w:rFonts w:ascii="標楷體" w:eastAsia="標楷體" w:hAnsi="標楷體" w:hint="eastAsia"/>
              </w:rPr>
              <w:t>9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4285175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Pr="00F025FB" w:rsidRDefault="008D3FAF" w:rsidP="00C27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10021693@</w:t>
            </w:r>
            <w:r w:rsidR="00C27C29" w:rsidRPr="00C27C29">
              <w:rPr>
                <w:rFonts w:ascii="標楷體" w:eastAsia="標楷體" w:hAnsi="標楷體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</w:t>
            </w:r>
            <w:r w:rsidR="00B70171">
              <w:rPr>
                <w:rFonts w:ascii="標楷體" w:eastAsia="標楷體" w:hAnsi="標楷體" w:hint="eastAsia"/>
              </w:rPr>
              <w:t>無</w:t>
            </w:r>
            <w:r w:rsidRPr="007352EF">
              <w:rPr>
                <w:rFonts w:ascii="標楷體" w:eastAsia="標楷體" w:hAnsi="標楷體" w:hint="eastAsia"/>
              </w:rPr>
              <w:t>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</w:t>
            </w:r>
            <w:proofErr w:type="gramEnd"/>
            <w:r>
              <w:rPr>
                <w:rFonts w:ascii="標楷體" w:eastAsia="標楷體" w:hAnsi="標楷體" w:hint="eastAsia"/>
              </w:rPr>
              <w:t>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</w:t>
            </w:r>
            <w:r w:rsidRPr="00BA0CCB">
              <w:rPr>
                <w:rFonts w:ascii="標楷體" w:eastAsia="標楷體" w:hAnsi="標楷體"/>
                <w:b/>
              </w:rPr>
              <w:lastRenderedPageBreak/>
              <w:t>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40A4B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請填見</w:t>
            </w:r>
            <w:r w:rsidR="008D3FAF">
              <w:rPr>
                <w:rFonts w:ascii="標楷體" w:eastAsia="標楷體" w:hAnsi="標楷體" w:hint="eastAsia"/>
              </w:rPr>
              <w:t>下</w:t>
            </w:r>
            <w:proofErr w:type="gramEnd"/>
            <w:r w:rsidR="008D3FAF">
              <w:rPr>
                <w:rFonts w:ascii="標楷體" w:eastAsia="標楷體" w:hAnsi="標楷體" w:hint="eastAsia"/>
              </w:rPr>
              <w:t>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proofErr w:type="gramEnd"/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557337" w:rsidRPr="000F3CD0" w:rsidRDefault="008D3FAF" w:rsidP="00557337">
      <w:pPr>
        <w:spacing w:line="56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7"/>
        <w:gridCol w:w="431"/>
        <w:gridCol w:w="808"/>
        <w:gridCol w:w="714"/>
        <w:gridCol w:w="714"/>
        <w:gridCol w:w="714"/>
        <w:gridCol w:w="996"/>
      </w:tblGrid>
      <w:tr w:rsidR="006E4DB8" w:rsidRPr="00344159" w:rsidTr="006E4DB8">
        <w:trPr>
          <w:trHeight w:val="345"/>
        </w:trPr>
        <w:tc>
          <w:tcPr>
            <w:tcW w:w="2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99139A" w:rsidP="009F42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請問您喜歡這次的活動嗎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99139A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您對本次活動整體表現之滿意度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940A4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9F422E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F422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您覺得這次宣導是否能增加性別意識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D27993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7993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問您覺得這次宣導活動是否會改變您對子女的教養態度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99139A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D27993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D27993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6E4DB8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4DB8"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="00940A4B" w:rsidRPr="00940A4B">
              <w:rPr>
                <w:rFonts w:ascii="標楷體" w:eastAsia="標楷體" w:hAnsi="標楷體" w:cs="新細明體" w:hint="eastAsia"/>
                <w:color w:val="000000"/>
                <w:kern w:val="0"/>
              </w:rPr>
              <w:t>問您覺得這次的宣導影片是否能增進您及小朋友性別平等觀念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99139A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913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E4DB8"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940A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E4DB8" w:rsidRPr="00344159" w:rsidTr="006E4DB8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940A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27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940A4B">
              <w:rPr>
                <w:rFonts w:ascii="標楷體" w:eastAsia="標楷體" w:hAnsi="標楷體" w:cs="新細明體" w:hint="eastAsia"/>
                <w:kern w:val="0"/>
              </w:rPr>
              <w:t>63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6E4DB8">
              <w:rPr>
                <w:rFonts w:ascii="標楷體" w:eastAsia="標楷體" w:hAnsi="標楷體" w:cs="新細明體" w:hint="eastAsia"/>
                <w:kern w:val="0"/>
              </w:rPr>
              <w:t>70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8D3FAF" w:rsidRPr="00A83C28" w:rsidTr="006E4DB8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6" w:rsidRDefault="00447936" w:rsidP="00BF493B">
      <w:r>
        <w:separator/>
      </w:r>
    </w:p>
  </w:endnote>
  <w:endnote w:type="continuationSeparator" w:id="0">
    <w:p w:rsidR="00447936" w:rsidRDefault="00447936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45260"/>
      <w:docPartObj>
        <w:docPartGallery w:val="Page Numbers (Bottom of Page)"/>
        <w:docPartUnique/>
      </w:docPartObj>
    </w:sdtPr>
    <w:sdtEndPr/>
    <w:sdtContent>
      <w:p w:rsidR="00447936" w:rsidRDefault="004479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4B" w:rsidRPr="00940A4B">
          <w:rPr>
            <w:noProof/>
            <w:lang w:val="zh-TW"/>
          </w:rPr>
          <w:t>2</w:t>
        </w:r>
        <w:r>
          <w:fldChar w:fldCharType="end"/>
        </w:r>
      </w:p>
    </w:sdtContent>
  </w:sdt>
  <w:p w:rsidR="00447936" w:rsidRDefault="004479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6" w:rsidRDefault="00447936" w:rsidP="00BF493B">
      <w:r>
        <w:separator/>
      </w:r>
    </w:p>
  </w:footnote>
  <w:footnote w:type="continuationSeparator" w:id="0">
    <w:p w:rsidR="00447936" w:rsidRDefault="00447936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F8"/>
    <w:rsid w:val="00000549"/>
    <w:rsid w:val="000138B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1ECF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515E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674DE"/>
    <w:rsid w:val="002706F2"/>
    <w:rsid w:val="002720DA"/>
    <w:rsid w:val="00272B99"/>
    <w:rsid w:val="00286645"/>
    <w:rsid w:val="002976E3"/>
    <w:rsid w:val="002A19A4"/>
    <w:rsid w:val="002A1C75"/>
    <w:rsid w:val="002B432A"/>
    <w:rsid w:val="002C3CA7"/>
    <w:rsid w:val="002C5CBA"/>
    <w:rsid w:val="002C65C0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0FB7"/>
    <w:rsid w:val="0035448F"/>
    <w:rsid w:val="00363BFF"/>
    <w:rsid w:val="00365E84"/>
    <w:rsid w:val="0037682F"/>
    <w:rsid w:val="003819CF"/>
    <w:rsid w:val="0038247C"/>
    <w:rsid w:val="003A0F9D"/>
    <w:rsid w:val="003A3F45"/>
    <w:rsid w:val="003B060A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3BBE"/>
    <w:rsid w:val="0041531A"/>
    <w:rsid w:val="00416605"/>
    <w:rsid w:val="0042360C"/>
    <w:rsid w:val="00424D68"/>
    <w:rsid w:val="004358C4"/>
    <w:rsid w:val="004368EF"/>
    <w:rsid w:val="00436D97"/>
    <w:rsid w:val="00441CBB"/>
    <w:rsid w:val="00447936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5D65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5D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57337"/>
    <w:rsid w:val="0056142A"/>
    <w:rsid w:val="00565C8E"/>
    <w:rsid w:val="005724F6"/>
    <w:rsid w:val="00575C50"/>
    <w:rsid w:val="00587266"/>
    <w:rsid w:val="0059241D"/>
    <w:rsid w:val="005A2650"/>
    <w:rsid w:val="005A4165"/>
    <w:rsid w:val="005A436F"/>
    <w:rsid w:val="005A78FF"/>
    <w:rsid w:val="005B1001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14D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5276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4DB8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0A4B"/>
    <w:rsid w:val="00942FD7"/>
    <w:rsid w:val="009446A0"/>
    <w:rsid w:val="00952014"/>
    <w:rsid w:val="00967BF5"/>
    <w:rsid w:val="00970E92"/>
    <w:rsid w:val="00972822"/>
    <w:rsid w:val="009735C9"/>
    <w:rsid w:val="00975172"/>
    <w:rsid w:val="0099139A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422E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61C1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2D04"/>
    <w:rsid w:val="00B23993"/>
    <w:rsid w:val="00B24AF6"/>
    <w:rsid w:val="00B31691"/>
    <w:rsid w:val="00B360F4"/>
    <w:rsid w:val="00B448C2"/>
    <w:rsid w:val="00B44C5B"/>
    <w:rsid w:val="00B51BA2"/>
    <w:rsid w:val="00B63C24"/>
    <w:rsid w:val="00B67142"/>
    <w:rsid w:val="00B70171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16EE"/>
    <w:rsid w:val="00BF493B"/>
    <w:rsid w:val="00BF52CC"/>
    <w:rsid w:val="00C014C4"/>
    <w:rsid w:val="00C04A7D"/>
    <w:rsid w:val="00C06045"/>
    <w:rsid w:val="00C12D2E"/>
    <w:rsid w:val="00C1774E"/>
    <w:rsid w:val="00C226F7"/>
    <w:rsid w:val="00C23CF3"/>
    <w:rsid w:val="00C268BC"/>
    <w:rsid w:val="00C27C29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27993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D67FB607-FCB7-4610-A24E-F5DC895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5B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s://www.facebook.com/pingzhen.tycg.gov/photos/a.305791169860123/738586239913945/?type=3&amp;theater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39A-D6B3-4175-B4F7-CC23C39D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20</cp:revision>
  <cp:lastPrinted>2016-08-25T02:46:00Z</cp:lastPrinted>
  <dcterms:created xsi:type="dcterms:W3CDTF">2017-07-17T03:37:00Z</dcterms:created>
  <dcterms:modified xsi:type="dcterms:W3CDTF">2019-10-09T03:10:00Z</dcterms:modified>
</cp:coreProperties>
</file>