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7CAE0" w14:textId="4EA42DEC" w:rsidR="00EF2308" w:rsidRPr="00EC5CF6" w:rsidRDefault="00EF2308" w:rsidP="00EC5CF6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EC5CF6">
        <w:rPr>
          <w:rFonts w:ascii="標楷體" w:eastAsia="標楷體" w:hAnsi="標楷體" w:hint="eastAsia"/>
          <w:sz w:val="40"/>
          <w:szCs w:val="40"/>
        </w:rPr>
        <w:t>小花蔓澤蘭</w:t>
      </w:r>
      <w:proofErr w:type="gramEnd"/>
      <w:r w:rsidRPr="00EC5CF6">
        <w:rPr>
          <w:rFonts w:ascii="標楷體" w:eastAsia="標楷體" w:hAnsi="標楷體" w:hint="eastAsia"/>
          <w:sz w:val="40"/>
          <w:szCs w:val="40"/>
        </w:rPr>
        <w:t>收購程序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EF2308" w:rsidRPr="00EC5CF6" w14:paraId="2D3B3AE2" w14:textId="6F54F95E" w:rsidTr="00A15B1D">
        <w:tc>
          <w:tcPr>
            <w:tcW w:w="704" w:type="dxa"/>
          </w:tcPr>
          <w:p w14:paraId="08367BE2" w14:textId="6AFD6416" w:rsidR="00EF2308" w:rsidRPr="00EC5CF6" w:rsidRDefault="00EF23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</w:p>
        </w:tc>
        <w:tc>
          <w:tcPr>
            <w:tcW w:w="7592" w:type="dxa"/>
          </w:tcPr>
          <w:p w14:paraId="29EF7D31" w14:textId="02BB0ECB" w:rsidR="00EF2308" w:rsidRPr="00EC5CF6" w:rsidRDefault="00EF23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A25335">
              <w:rPr>
                <w:rFonts w:ascii="標楷體" w:eastAsia="標楷體" w:hAnsi="標楷體" w:hint="eastAsia"/>
                <w:sz w:val="28"/>
                <w:szCs w:val="28"/>
              </w:rPr>
              <w:t>收集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植</w:t>
            </w:r>
            <w:r w:rsidR="000E718D" w:rsidRPr="00EC5CF6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A2533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用透明塑膠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袋裝</w:t>
            </w:r>
            <w:r w:rsidR="00A25335">
              <w:rPr>
                <w:rFonts w:ascii="標楷體" w:eastAsia="標楷體" w:hAnsi="標楷體" w:hint="eastAsia"/>
                <w:sz w:val="28"/>
                <w:szCs w:val="28"/>
              </w:rPr>
              <w:t>妥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，送至本市各區公所申請收購（其他縣市、區民眾亦得申請）。</w:t>
            </w:r>
          </w:p>
        </w:tc>
      </w:tr>
      <w:tr w:rsidR="00EF2308" w:rsidRPr="00EC5CF6" w14:paraId="6D8C1562" w14:textId="4567389E" w:rsidTr="00A15B1D">
        <w:trPr>
          <w:trHeight w:val="10567"/>
        </w:trPr>
        <w:tc>
          <w:tcPr>
            <w:tcW w:w="704" w:type="dxa"/>
          </w:tcPr>
          <w:p w14:paraId="544EC944" w14:textId="0713667A" w:rsidR="00EF2308" w:rsidRPr="00EC5CF6" w:rsidRDefault="00EC5C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EF2308" w:rsidRPr="00EC5CF6">
              <w:rPr>
                <w:rFonts w:ascii="標楷體" w:eastAsia="標楷體" w:hAnsi="標楷體" w:hint="eastAsia"/>
                <w:sz w:val="28"/>
                <w:szCs w:val="28"/>
              </w:rPr>
              <w:t>公所</w:t>
            </w:r>
          </w:p>
        </w:tc>
        <w:tc>
          <w:tcPr>
            <w:tcW w:w="7592" w:type="dxa"/>
          </w:tcPr>
          <w:p w14:paraId="78EA3599" w14:textId="77777777" w:rsidR="00EF2308" w:rsidRPr="00EC5CF6" w:rsidRDefault="000E718D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協助申請人填寫申請書及領據（附件1）。</w:t>
            </w:r>
          </w:p>
          <w:p w14:paraId="6E25CE64" w14:textId="31328A49" w:rsidR="000E718D" w:rsidRPr="00EC5CF6" w:rsidRDefault="000E718D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是否符合收購規定，秤重後記錄於申請書中。若抽查每袋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夾雜其他植物體或雜物則將其去除後核實計價。</w:t>
            </w:r>
          </w:p>
          <w:p w14:paraId="5BC8F19F" w14:textId="08AFB223" w:rsidR="000E718D" w:rsidRPr="00EC5CF6" w:rsidRDefault="000E718D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請檢查人員於申請書及領據簽章</w:t>
            </w:r>
            <w:r w:rsidR="0092474E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  <w:r w:rsidR="00D40B3E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FB39B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戳章。</w:t>
            </w:r>
          </w:p>
          <w:p w14:paraId="77C28800" w14:textId="48D9C2B5" w:rsidR="000E718D" w:rsidRPr="00EC5CF6" w:rsidRDefault="00EB54D6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以現金支付收購費用，並將</w:t>
            </w:r>
            <w:r w:rsidR="000E718D" w:rsidRPr="00EC5CF6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第二聯交申請人留存。</w:t>
            </w:r>
          </w:p>
          <w:p w14:paraId="58B81264" w14:textId="16E44772" w:rsidR="00EB54D6" w:rsidRPr="00EC5CF6" w:rsidRDefault="00EB54D6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40B3E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單位將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植株體妥善安置，並於收購當日下班前回報本府農業局收購數量，以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利彙整清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運。</w:t>
            </w:r>
          </w:p>
          <w:p w14:paraId="23F3D68C" w14:textId="5645DF9E" w:rsidR="00EC5CF6" w:rsidRPr="00EC5CF6" w:rsidRDefault="00EB54D6" w:rsidP="00EC5CF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收購期程結束後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，統整年度收購資料製作</w:t>
            </w:r>
            <w:r w:rsidR="00471B8B">
              <w:rPr>
                <w:rFonts w:ascii="標楷體" w:eastAsia="標楷體" w:hAnsi="標楷體" w:hint="eastAsia"/>
                <w:sz w:val="28"/>
                <w:szCs w:val="28"/>
              </w:rPr>
              <w:t>核撥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（附件2），將</w:t>
            </w:r>
            <w:r w:rsidR="00471B8B">
              <w:rPr>
                <w:rFonts w:ascii="標楷體" w:eastAsia="標楷體" w:hAnsi="標楷體" w:hint="eastAsia"/>
                <w:sz w:val="28"/>
                <w:szCs w:val="28"/>
              </w:rPr>
              <w:t>核撥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清冊1式2份與各收購申請書及領據（第一聯）函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送本府農業局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辦理請款事宜。</w:t>
            </w:r>
          </w:p>
        </w:tc>
      </w:tr>
    </w:tbl>
    <w:p w14:paraId="0B82A0FC" w14:textId="77777777" w:rsidR="00EF2308" w:rsidRPr="00EC5CF6" w:rsidRDefault="00EF2308">
      <w:pPr>
        <w:rPr>
          <w:rFonts w:ascii="標楷體" w:eastAsia="標楷體" w:hAnsi="標楷體"/>
        </w:rPr>
      </w:pPr>
    </w:p>
    <w:sectPr w:rsidR="00EF2308" w:rsidRPr="00EC5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DB469" w14:textId="77777777" w:rsidR="001260C9" w:rsidRDefault="001260C9" w:rsidP="00471B8B">
      <w:r>
        <w:separator/>
      </w:r>
    </w:p>
  </w:endnote>
  <w:endnote w:type="continuationSeparator" w:id="0">
    <w:p w14:paraId="63A6E8F1" w14:textId="77777777" w:rsidR="001260C9" w:rsidRDefault="001260C9" w:rsidP="004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51C43" w14:textId="77777777" w:rsidR="001260C9" w:rsidRDefault="001260C9" w:rsidP="00471B8B">
      <w:r>
        <w:separator/>
      </w:r>
    </w:p>
  </w:footnote>
  <w:footnote w:type="continuationSeparator" w:id="0">
    <w:p w14:paraId="0DCBA158" w14:textId="77777777" w:rsidR="001260C9" w:rsidRDefault="001260C9" w:rsidP="0047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77809"/>
    <w:multiLevelType w:val="hybridMultilevel"/>
    <w:tmpl w:val="7384272C"/>
    <w:lvl w:ilvl="0" w:tplc="59245752">
      <w:start w:val="1"/>
      <w:numFmt w:val="decimalFullWidth"/>
      <w:lvlText w:val="(%1)"/>
      <w:lvlJc w:val="left"/>
      <w:pPr>
        <w:ind w:left="83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" w15:restartNumberingAfterBreak="0">
    <w:nsid w:val="6DE0069B"/>
    <w:multiLevelType w:val="hybridMultilevel"/>
    <w:tmpl w:val="B9C66B8E"/>
    <w:lvl w:ilvl="0" w:tplc="45763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6892622">
    <w:abstractNumId w:val="1"/>
  </w:num>
  <w:num w:numId="2" w16cid:durableId="151993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08"/>
    <w:rsid w:val="000E718D"/>
    <w:rsid w:val="000F5954"/>
    <w:rsid w:val="001260C9"/>
    <w:rsid w:val="00471B8B"/>
    <w:rsid w:val="006E5489"/>
    <w:rsid w:val="007B45C5"/>
    <w:rsid w:val="0092474E"/>
    <w:rsid w:val="00965FC4"/>
    <w:rsid w:val="00A15B1D"/>
    <w:rsid w:val="00A25335"/>
    <w:rsid w:val="00D40B3E"/>
    <w:rsid w:val="00E91DA6"/>
    <w:rsid w:val="00EB54D6"/>
    <w:rsid w:val="00EC5CF6"/>
    <w:rsid w:val="00EF2308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95F1A"/>
  <w15:chartTrackingRefBased/>
  <w15:docId w15:val="{7B2E0DCB-6324-4039-A728-029CEA8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1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B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鈞皓 楊</dc:creator>
  <cp:keywords/>
  <dc:description/>
  <cp:lastModifiedBy>翎翎 楊</cp:lastModifiedBy>
  <cp:revision>2</cp:revision>
  <cp:lastPrinted>2022-06-06T03:18:00Z</cp:lastPrinted>
  <dcterms:created xsi:type="dcterms:W3CDTF">2024-04-17T03:30:00Z</dcterms:created>
  <dcterms:modified xsi:type="dcterms:W3CDTF">2024-04-17T03:30:00Z</dcterms:modified>
</cp:coreProperties>
</file>