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04" w:rsidRDefault="00233204" w:rsidP="00233204">
      <w:pPr>
        <w:spacing w:line="460" w:lineRule="exact"/>
        <w:jc w:val="center"/>
        <w:rPr>
          <w:rFonts w:ascii="標楷體" w:eastAsia="標楷體" w:hAnsi="標楷體"/>
          <w:b/>
          <w:sz w:val="32"/>
          <w:szCs w:val="32"/>
        </w:rPr>
      </w:pPr>
      <w:bookmarkStart w:id="0" w:name="_GoBack"/>
      <w:bookmarkEnd w:id="0"/>
      <w:r>
        <w:rPr>
          <w:rFonts w:ascii="標楷體" w:eastAsia="標楷體" w:hAnsi="標楷體" w:hint="eastAsia"/>
          <w:b/>
          <w:noProof/>
          <w:sz w:val="32"/>
          <w:szCs w:val="32"/>
        </w:rPr>
        <w:drawing>
          <wp:anchor distT="0" distB="0" distL="114300" distR="114300" simplePos="0" relativeHeight="251658240" behindDoc="0" locked="0" layoutInCell="1" allowOverlap="1">
            <wp:simplePos x="0" y="0"/>
            <wp:positionH relativeFrom="column">
              <wp:posOffset>4831080</wp:posOffset>
            </wp:positionH>
            <wp:positionV relativeFrom="paragraph">
              <wp:posOffset>-611505</wp:posOffset>
            </wp:positionV>
            <wp:extent cx="1309370" cy="1165860"/>
            <wp:effectExtent l="19050" t="0" r="5080" b="0"/>
            <wp:wrapNone/>
            <wp:docPr id="2" name="圖片 1" descr="廉政署徽"/>
            <wp:cNvGraphicFramePr/>
            <a:graphic xmlns:a="http://schemas.openxmlformats.org/drawingml/2006/main">
              <a:graphicData uri="http://schemas.openxmlformats.org/drawingml/2006/picture">
                <pic:pic xmlns:pic="http://schemas.openxmlformats.org/drawingml/2006/picture">
                  <pic:nvPicPr>
                    <pic:cNvPr id="8" name="Picture 14" descr="廉政署徽"/>
                    <pic:cNvPicPr>
                      <a:picLocks noChangeAspect="1" noChangeArrowheads="1"/>
                    </pic:cNvPicPr>
                  </pic:nvPicPr>
                  <pic:blipFill>
                    <a:blip r:embed="rId9" cstate="print"/>
                    <a:srcRect/>
                    <a:stretch>
                      <a:fillRect/>
                    </a:stretch>
                  </pic:blipFill>
                  <pic:spPr bwMode="auto">
                    <a:xfrm>
                      <a:off x="0" y="0"/>
                      <a:ext cx="1309370" cy="1165860"/>
                    </a:xfrm>
                    <a:prstGeom prst="rect">
                      <a:avLst/>
                    </a:prstGeom>
                    <a:noFill/>
                    <a:ln w="9525">
                      <a:noFill/>
                      <a:miter lim="800000"/>
                      <a:headEnd/>
                      <a:tailEnd/>
                    </a:ln>
                  </pic:spPr>
                </pic:pic>
              </a:graphicData>
            </a:graphic>
          </wp:anchor>
        </w:drawing>
      </w:r>
      <w:r w:rsidRPr="00AB3406">
        <w:rPr>
          <w:rFonts w:ascii="標楷體" w:eastAsia="標楷體" w:hAnsi="標楷體" w:hint="eastAsia"/>
          <w:b/>
          <w:sz w:val="32"/>
          <w:szCs w:val="32"/>
        </w:rPr>
        <w:t>公職人員利益衝突迴避法</w:t>
      </w:r>
      <w:r>
        <w:rPr>
          <w:rFonts w:ascii="標楷體" w:eastAsia="標楷體" w:hAnsi="標楷體" w:hint="eastAsia"/>
          <w:b/>
          <w:sz w:val="32"/>
          <w:szCs w:val="32"/>
        </w:rPr>
        <w:t>修法說明</w:t>
      </w:r>
    </w:p>
    <w:p w:rsidR="00233204" w:rsidRPr="00232330" w:rsidRDefault="00233204" w:rsidP="00A71F4E">
      <w:pPr>
        <w:tabs>
          <w:tab w:val="left" w:pos="540"/>
        </w:tabs>
        <w:snapToGrid w:val="0"/>
        <w:spacing w:beforeLines="100" w:before="360" w:line="480" w:lineRule="exact"/>
        <w:jc w:val="both"/>
        <w:rPr>
          <w:rFonts w:ascii="標楷體" w:eastAsia="標楷體" w:hAnsi="標楷體"/>
          <w:sz w:val="32"/>
          <w:szCs w:val="32"/>
        </w:rPr>
      </w:pPr>
      <w:r>
        <w:rPr>
          <w:rFonts w:ascii="標楷體" w:eastAsia="標楷體" w:hAnsi="標楷體"/>
          <w:sz w:val="32"/>
          <w:szCs w:val="32"/>
        </w:rPr>
        <w:t xml:space="preserve">    </w:t>
      </w:r>
      <w:r w:rsidRPr="00232330">
        <w:rPr>
          <w:rFonts w:ascii="標楷體" w:eastAsia="標楷體" w:hAnsi="標楷體" w:hint="eastAsia"/>
          <w:sz w:val="32"/>
          <w:szCs w:val="32"/>
        </w:rPr>
        <w:t>公職人員利益衝突迴避法（下稱本法）修正草案於107年5月22日經立法院三讀通過、</w:t>
      </w:r>
      <w:r w:rsidR="004319F9" w:rsidRPr="004319F9">
        <w:rPr>
          <w:rFonts w:ascii="標楷體" w:eastAsia="標楷體" w:hAnsi="標楷體" w:hint="eastAsia"/>
          <w:sz w:val="32"/>
          <w:szCs w:val="32"/>
        </w:rPr>
        <w:t>107年6月13日華總</w:t>
      </w:r>
      <w:proofErr w:type="gramStart"/>
      <w:r w:rsidR="004319F9" w:rsidRPr="004319F9">
        <w:rPr>
          <w:rFonts w:ascii="標楷體" w:eastAsia="標楷體" w:hAnsi="標楷體" w:hint="eastAsia"/>
          <w:sz w:val="32"/>
          <w:szCs w:val="32"/>
        </w:rPr>
        <w:t>一義字第10700063581號</w:t>
      </w:r>
      <w:proofErr w:type="gramEnd"/>
      <w:r w:rsidR="004319F9" w:rsidRPr="004319F9">
        <w:rPr>
          <w:rFonts w:ascii="標楷體" w:eastAsia="標楷體" w:hAnsi="標楷體" w:hint="eastAsia"/>
          <w:sz w:val="32"/>
          <w:szCs w:val="32"/>
        </w:rPr>
        <w:t>總統令</w:t>
      </w:r>
      <w:r w:rsidRPr="004319F9">
        <w:rPr>
          <w:rFonts w:ascii="標楷體" w:eastAsia="標楷體" w:hAnsi="標楷體" w:hint="eastAsia"/>
          <w:sz w:val="32"/>
          <w:szCs w:val="32"/>
        </w:rPr>
        <w:t>公布</w:t>
      </w:r>
      <w:r w:rsidRPr="00232330">
        <w:rPr>
          <w:rFonts w:ascii="標楷體" w:eastAsia="標楷體" w:hAnsi="標楷體" w:hint="eastAsia"/>
          <w:sz w:val="32"/>
          <w:szCs w:val="32"/>
        </w:rPr>
        <w:t>。本法自</w:t>
      </w:r>
      <w:r w:rsidRPr="00232330">
        <w:rPr>
          <w:rFonts w:ascii="標楷體" w:eastAsia="標楷體" w:hAnsi="標楷體"/>
          <w:sz w:val="32"/>
          <w:szCs w:val="32"/>
        </w:rPr>
        <w:t>89</w:t>
      </w:r>
      <w:r w:rsidRPr="00232330">
        <w:rPr>
          <w:rFonts w:ascii="標楷體" w:eastAsia="標楷體" w:hAnsi="標楷體" w:hint="eastAsia"/>
          <w:sz w:val="32"/>
          <w:szCs w:val="32"/>
        </w:rPr>
        <w:t>年公布施行迄今已近20年，</w:t>
      </w:r>
      <w:r w:rsidRPr="00232330">
        <w:rPr>
          <w:rFonts w:ascii="標楷體" w:eastAsia="標楷體" w:hAnsi="標楷體" w:cs="標楷體" w:hint="eastAsia"/>
          <w:sz w:val="32"/>
          <w:szCs w:val="32"/>
          <w:lang w:val="zh-TW"/>
        </w:rPr>
        <w:t>整體時空背景與本法最初制定時已有相當差異，故外界對於本法規範</w:t>
      </w:r>
      <w:proofErr w:type="gramStart"/>
      <w:r w:rsidRPr="00232330">
        <w:rPr>
          <w:rFonts w:ascii="標楷體" w:eastAsia="標楷體" w:hAnsi="標楷體" w:cs="標楷體" w:hint="eastAsia"/>
          <w:sz w:val="32"/>
          <w:szCs w:val="32"/>
          <w:lang w:val="zh-TW"/>
        </w:rPr>
        <w:t>內容迭有檢討</w:t>
      </w:r>
      <w:proofErr w:type="gramEnd"/>
      <w:r w:rsidRPr="00232330">
        <w:rPr>
          <w:rFonts w:ascii="標楷體" w:eastAsia="標楷體" w:hAnsi="標楷體" w:cs="標楷體" w:hint="eastAsia"/>
          <w:sz w:val="32"/>
          <w:szCs w:val="32"/>
          <w:lang w:val="zh-TW"/>
        </w:rPr>
        <w:t>聲浪，</w:t>
      </w:r>
      <w:r w:rsidRPr="00232330">
        <w:rPr>
          <w:rFonts w:ascii="標楷體" w:eastAsia="標楷體" w:hAnsi="標楷體" w:hint="eastAsia"/>
          <w:sz w:val="32"/>
          <w:szCs w:val="32"/>
        </w:rPr>
        <w:t>尤以司法院大法官第</w:t>
      </w:r>
      <w:r w:rsidRPr="00232330">
        <w:rPr>
          <w:rFonts w:ascii="標楷體" w:eastAsia="標楷體" w:hAnsi="標楷體"/>
          <w:sz w:val="32"/>
          <w:szCs w:val="32"/>
        </w:rPr>
        <w:t>716</w:t>
      </w:r>
      <w:r w:rsidRPr="00232330">
        <w:rPr>
          <w:rFonts w:ascii="標楷體" w:eastAsia="標楷體" w:hAnsi="標楷體" w:hint="eastAsia"/>
          <w:sz w:val="32"/>
          <w:szCs w:val="32"/>
        </w:rPr>
        <w:t>號解釋宣告本法相關規定應儘速通盤檢討改進</w:t>
      </w:r>
      <w:r w:rsidRPr="00232330">
        <w:rPr>
          <w:rFonts w:ascii="標楷體" w:eastAsia="標楷體" w:hAnsi="標楷體" w:cs="標楷體" w:hint="eastAsia"/>
          <w:sz w:val="32"/>
          <w:szCs w:val="32"/>
          <w:lang w:val="zh-TW"/>
        </w:rPr>
        <w:t>，經</w:t>
      </w:r>
      <w:r w:rsidRPr="00232330">
        <w:rPr>
          <w:rFonts w:ascii="標楷體" w:eastAsia="標楷體" w:hAnsi="標楷體" w:hint="eastAsia"/>
          <w:sz w:val="32"/>
          <w:szCs w:val="32"/>
        </w:rPr>
        <w:t>全面通盤檢討後擬具修正草案，為利益衝突迴避制度開創新的里程碑。本次修正重點如下：</w:t>
      </w:r>
    </w:p>
    <w:p w:rsidR="00233204" w:rsidRPr="00232330" w:rsidRDefault="00233204" w:rsidP="00232330">
      <w:pPr>
        <w:pStyle w:val="a3"/>
        <w:numPr>
          <w:ilvl w:val="0"/>
          <w:numId w:val="1"/>
        </w:numPr>
        <w:spacing w:line="480" w:lineRule="exact"/>
        <w:ind w:leftChars="0" w:left="794" w:hanging="794"/>
        <w:jc w:val="both"/>
        <w:rPr>
          <w:rFonts w:ascii="標楷體" w:eastAsia="標楷體" w:hAnsi="標楷體"/>
          <w:b/>
          <w:sz w:val="32"/>
          <w:szCs w:val="32"/>
        </w:rPr>
      </w:pPr>
      <w:r w:rsidRPr="00232330">
        <w:rPr>
          <w:rFonts w:ascii="標楷體" w:eastAsia="標楷體" w:hAnsi="標楷體" w:hint="eastAsia"/>
          <w:b/>
          <w:sz w:val="32"/>
          <w:szCs w:val="32"/>
        </w:rPr>
        <w:t>修正公職人員之範圍，將較具有利益輸送之虞之職務納入規範</w:t>
      </w:r>
    </w:p>
    <w:p w:rsidR="00233204" w:rsidRPr="00232330" w:rsidRDefault="00233204" w:rsidP="00232330">
      <w:pPr>
        <w:pStyle w:val="a3"/>
        <w:spacing w:line="480" w:lineRule="exact"/>
        <w:ind w:leftChars="0" w:left="792"/>
        <w:jc w:val="both"/>
        <w:rPr>
          <w:rFonts w:ascii="標楷體" w:eastAsia="標楷體" w:hAnsi="標楷體"/>
          <w:sz w:val="32"/>
          <w:szCs w:val="32"/>
        </w:rPr>
      </w:pPr>
      <w:r w:rsidRPr="00232330">
        <w:rPr>
          <w:rFonts w:ascii="標楷體" w:eastAsia="標楷體" w:hAnsi="標楷體" w:hint="eastAsia"/>
          <w:sz w:val="32"/>
          <w:szCs w:val="32"/>
        </w:rPr>
        <w:t>現行本法之適用對象與公職人員財產申報法一致，本次修正予以脫</w:t>
      </w:r>
      <w:proofErr w:type="gramStart"/>
      <w:r w:rsidRPr="00232330">
        <w:rPr>
          <w:rFonts w:ascii="標楷體" w:eastAsia="標楷體" w:hAnsi="標楷體" w:hint="eastAsia"/>
          <w:sz w:val="32"/>
          <w:szCs w:val="32"/>
        </w:rPr>
        <w:t>鉤</w:t>
      </w:r>
      <w:proofErr w:type="gramEnd"/>
      <w:r w:rsidRPr="00232330">
        <w:rPr>
          <w:rFonts w:ascii="標楷體" w:eastAsia="標楷體" w:hAnsi="標楷體" w:hint="eastAsia"/>
          <w:sz w:val="32"/>
          <w:szCs w:val="32"/>
        </w:rPr>
        <w:t>，將較具有利益輸送之虞之職務納入本法規範範圍，例如增列</w:t>
      </w:r>
      <w:r w:rsidRPr="00232330">
        <w:rPr>
          <w:rFonts w:ascii="標楷體" w:eastAsia="標楷體" w:hAnsi="標楷體" w:hint="eastAsia"/>
          <w:color w:val="000000" w:themeColor="text1"/>
          <w:sz w:val="32"/>
          <w:szCs w:val="32"/>
        </w:rPr>
        <w:t>政府捐助之財團法人之董事長、執行長、秘書長；公法人之董事、監察人、首長、執行長</w:t>
      </w:r>
      <w:r w:rsidRPr="00232330">
        <w:rPr>
          <w:rFonts w:ascii="標楷體" w:eastAsia="標楷體" w:hAnsi="標楷體" w:hint="eastAsia"/>
          <w:sz w:val="32"/>
          <w:szCs w:val="32"/>
        </w:rPr>
        <w:t>等均納入規範。</w:t>
      </w:r>
    </w:p>
    <w:p w:rsidR="00233204" w:rsidRPr="00232330" w:rsidRDefault="00233204" w:rsidP="00232330">
      <w:pPr>
        <w:pStyle w:val="a3"/>
        <w:numPr>
          <w:ilvl w:val="0"/>
          <w:numId w:val="1"/>
        </w:numPr>
        <w:spacing w:line="480" w:lineRule="exact"/>
        <w:ind w:leftChars="0" w:hanging="792"/>
        <w:jc w:val="both"/>
        <w:rPr>
          <w:rFonts w:ascii="標楷體" w:eastAsia="標楷體" w:hAnsi="標楷體"/>
          <w:b/>
          <w:sz w:val="32"/>
          <w:szCs w:val="32"/>
        </w:rPr>
      </w:pPr>
      <w:r w:rsidRPr="00232330">
        <w:rPr>
          <w:rFonts w:ascii="標楷體" w:eastAsia="標楷體" w:hAnsi="標楷體" w:hint="eastAsia"/>
          <w:b/>
          <w:sz w:val="32"/>
          <w:szCs w:val="32"/>
        </w:rPr>
        <w:t>擴大公職人員之關係人範圍，將與公職人員具有財產上及身分上利害關係者納入規範</w:t>
      </w:r>
    </w:p>
    <w:p w:rsidR="00233204" w:rsidRPr="00232330" w:rsidRDefault="00233204" w:rsidP="00232330">
      <w:pPr>
        <w:pStyle w:val="a3"/>
        <w:spacing w:line="480" w:lineRule="exact"/>
        <w:ind w:leftChars="0" w:left="792"/>
        <w:jc w:val="both"/>
        <w:rPr>
          <w:rFonts w:ascii="標楷體" w:eastAsia="標楷體" w:hAnsi="標楷體"/>
          <w:sz w:val="32"/>
          <w:szCs w:val="32"/>
        </w:rPr>
      </w:pPr>
      <w:r w:rsidRPr="00232330">
        <w:rPr>
          <w:rFonts w:ascii="標楷體" w:eastAsia="標楷體" w:hAnsi="標楷體" w:hint="eastAsia"/>
          <w:sz w:val="32"/>
          <w:szCs w:val="32"/>
        </w:rPr>
        <w:t>本次修正將與公職人員具有財產上及身分上利害關係者納入公職人員之關係人之規範，例如公職人員、其配偶或二親等內親屬擔任負責人、董監事之營利事業、非營利之法人及非法人團體；公職人員進用之機要人員、各級民意代表之助理等。</w:t>
      </w:r>
    </w:p>
    <w:p w:rsidR="00233204" w:rsidRPr="00232330" w:rsidRDefault="00233204" w:rsidP="00232330">
      <w:pPr>
        <w:pStyle w:val="a3"/>
        <w:numPr>
          <w:ilvl w:val="0"/>
          <w:numId w:val="1"/>
        </w:numPr>
        <w:spacing w:line="480" w:lineRule="exact"/>
        <w:ind w:leftChars="0" w:hanging="792"/>
        <w:jc w:val="both"/>
        <w:rPr>
          <w:rFonts w:ascii="標楷體" w:eastAsia="標楷體" w:hAnsi="標楷體"/>
          <w:b/>
          <w:sz w:val="32"/>
          <w:szCs w:val="32"/>
        </w:rPr>
      </w:pPr>
      <w:proofErr w:type="gramStart"/>
      <w:r w:rsidRPr="00232330">
        <w:rPr>
          <w:rFonts w:ascii="標楷體" w:eastAsia="標楷體" w:hAnsi="標楷體" w:hint="eastAsia"/>
          <w:b/>
          <w:sz w:val="32"/>
          <w:szCs w:val="32"/>
        </w:rPr>
        <w:t>明訂非財產</w:t>
      </w:r>
      <w:proofErr w:type="gramEnd"/>
      <w:r w:rsidRPr="00232330">
        <w:rPr>
          <w:rFonts w:ascii="標楷體" w:eastAsia="標楷體" w:hAnsi="標楷體" w:hint="eastAsia"/>
          <w:b/>
          <w:sz w:val="32"/>
          <w:szCs w:val="32"/>
        </w:rPr>
        <w:t>上之利益定義，以資明確適用</w:t>
      </w:r>
    </w:p>
    <w:p w:rsidR="00233204" w:rsidRPr="00232330" w:rsidRDefault="00233204" w:rsidP="00232330">
      <w:pPr>
        <w:pStyle w:val="a3"/>
        <w:spacing w:line="480" w:lineRule="exact"/>
        <w:ind w:leftChars="0" w:left="792"/>
        <w:jc w:val="both"/>
        <w:rPr>
          <w:rFonts w:ascii="標楷體" w:eastAsia="標楷體" w:hAnsi="標楷體"/>
          <w:sz w:val="32"/>
          <w:szCs w:val="32"/>
        </w:rPr>
      </w:pPr>
      <w:r w:rsidRPr="00232330">
        <w:rPr>
          <w:rFonts w:ascii="標楷體" w:eastAsia="標楷體" w:hAnsi="標楷體" w:hint="eastAsia"/>
          <w:sz w:val="32"/>
          <w:szCs w:val="32"/>
        </w:rPr>
        <w:t>參考近年來相關違法案例態</w:t>
      </w:r>
      <w:proofErr w:type="gramStart"/>
      <w:r w:rsidRPr="00232330">
        <w:rPr>
          <w:rFonts w:ascii="標楷體" w:eastAsia="標楷體" w:hAnsi="標楷體" w:hint="eastAsia"/>
          <w:sz w:val="32"/>
          <w:szCs w:val="32"/>
        </w:rPr>
        <w:t>樣明訂非</w:t>
      </w:r>
      <w:proofErr w:type="gramEnd"/>
      <w:r w:rsidRPr="00232330">
        <w:rPr>
          <w:rFonts w:ascii="標楷體" w:eastAsia="標楷體" w:hAnsi="標楷體" w:hint="eastAsia"/>
          <w:sz w:val="32"/>
          <w:szCs w:val="32"/>
        </w:rPr>
        <w:t>財產上之利益，包含任用、聘任、聘用、約</w:t>
      </w:r>
      <w:proofErr w:type="gramStart"/>
      <w:r w:rsidRPr="00232330">
        <w:rPr>
          <w:rFonts w:ascii="標楷體" w:eastAsia="標楷體" w:hAnsi="標楷體" w:hint="eastAsia"/>
          <w:sz w:val="32"/>
          <w:szCs w:val="32"/>
        </w:rPr>
        <w:t>僱</w:t>
      </w:r>
      <w:proofErr w:type="gramEnd"/>
      <w:r w:rsidRPr="00232330">
        <w:rPr>
          <w:rFonts w:ascii="標楷體" w:eastAsia="標楷體" w:hAnsi="標楷體" w:hint="eastAsia"/>
          <w:sz w:val="32"/>
          <w:szCs w:val="32"/>
        </w:rPr>
        <w:t>、臨時人員之進用、勞動派遣、</w:t>
      </w:r>
      <w:proofErr w:type="gramStart"/>
      <w:r w:rsidRPr="00232330">
        <w:rPr>
          <w:rFonts w:ascii="標楷體" w:eastAsia="標楷體" w:hAnsi="標楷體" w:hint="eastAsia"/>
          <w:sz w:val="32"/>
          <w:szCs w:val="32"/>
        </w:rPr>
        <w:t>陞</w:t>
      </w:r>
      <w:proofErr w:type="gramEnd"/>
      <w:r w:rsidRPr="00232330">
        <w:rPr>
          <w:rFonts w:ascii="標楷體" w:eastAsia="標楷體" w:hAnsi="標楷體" w:hint="eastAsia"/>
          <w:sz w:val="32"/>
          <w:szCs w:val="32"/>
        </w:rPr>
        <w:t>遷、調動、考績等人事措施。</w:t>
      </w:r>
    </w:p>
    <w:p w:rsidR="00233204" w:rsidRPr="00232330" w:rsidRDefault="00233204" w:rsidP="00232330">
      <w:pPr>
        <w:pStyle w:val="a3"/>
        <w:numPr>
          <w:ilvl w:val="0"/>
          <w:numId w:val="1"/>
        </w:numPr>
        <w:spacing w:line="480" w:lineRule="exact"/>
        <w:ind w:leftChars="0" w:hanging="792"/>
        <w:jc w:val="both"/>
        <w:rPr>
          <w:rFonts w:ascii="標楷體" w:eastAsia="標楷體" w:hAnsi="標楷體"/>
          <w:b/>
          <w:sz w:val="32"/>
          <w:szCs w:val="32"/>
        </w:rPr>
      </w:pPr>
      <w:r w:rsidRPr="00232330">
        <w:rPr>
          <w:rFonts w:ascii="標楷體" w:eastAsia="標楷體" w:hAnsi="標楷體" w:hint="eastAsia"/>
          <w:b/>
          <w:sz w:val="32"/>
          <w:szCs w:val="32"/>
        </w:rPr>
        <w:t>修正自行迴避、申請迴避及職權迴避之規定</w:t>
      </w:r>
    </w:p>
    <w:p w:rsidR="00233204" w:rsidRPr="00232330" w:rsidRDefault="00233204" w:rsidP="00232330">
      <w:pPr>
        <w:pStyle w:val="a3"/>
        <w:spacing w:line="480" w:lineRule="exact"/>
        <w:ind w:leftChars="0" w:left="792"/>
        <w:jc w:val="both"/>
        <w:rPr>
          <w:rFonts w:ascii="標楷體" w:eastAsia="標楷體" w:hAnsi="標楷體"/>
          <w:sz w:val="32"/>
          <w:szCs w:val="32"/>
        </w:rPr>
      </w:pPr>
      <w:r w:rsidRPr="00232330">
        <w:rPr>
          <w:rFonts w:ascii="標楷體" w:eastAsia="標楷體" w:hAnsi="標楷體" w:hint="eastAsia"/>
          <w:bCs/>
          <w:sz w:val="32"/>
          <w:szCs w:val="32"/>
        </w:rPr>
        <w:lastRenderedPageBreak/>
        <w:t>修正公職人員自行迴避、利害關係人申請迴避、機關職權令其迴避之程序，其中公職人員自行迴避應以書面通知服務之機關團體或</w:t>
      </w:r>
      <w:r w:rsidRPr="00232330">
        <w:rPr>
          <w:rFonts w:ascii="標楷體" w:eastAsia="標楷體" w:hAnsi="標楷體" w:hint="eastAsia"/>
          <w:color w:val="000000" w:themeColor="text1"/>
          <w:sz w:val="32"/>
          <w:szCs w:val="32"/>
        </w:rPr>
        <w:t>指派</w:t>
      </w:r>
      <w:r w:rsidRPr="00232330">
        <w:rPr>
          <w:rFonts w:ascii="標楷體" w:eastAsia="標楷體" w:hAnsi="標楷體" w:cs="細明體" w:hint="eastAsia"/>
          <w:color w:val="000000" w:themeColor="text1"/>
          <w:kern w:val="0"/>
          <w:sz w:val="32"/>
          <w:szCs w:val="32"/>
        </w:rPr>
        <w:t>、</w:t>
      </w:r>
      <w:proofErr w:type="gramStart"/>
      <w:r w:rsidRPr="00232330">
        <w:rPr>
          <w:rFonts w:ascii="標楷體" w:eastAsia="標楷體" w:hAnsi="標楷體" w:cs="細明體" w:hint="eastAsia"/>
          <w:color w:val="000000" w:themeColor="text1"/>
          <w:kern w:val="0"/>
          <w:sz w:val="32"/>
          <w:szCs w:val="32"/>
        </w:rPr>
        <w:t>遴</w:t>
      </w:r>
      <w:proofErr w:type="gramEnd"/>
      <w:r w:rsidRPr="00232330">
        <w:rPr>
          <w:rFonts w:ascii="標楷體" w:eastAsia="標楷體" w:hAnsi="標楷體" w:cs="細明體" w:hint="eastAsia"/>
          <w:color w:val="000000" w:themeColor="text1"/>
          <w:kern w:val="0"/>
          <w:sz w:val="32"/>
          <w:szCs w:val="32"/>
        </w:rPr>
        <w:t>聘、聘任</w:t>
      </w:r>
      <w:r w:rsidRPr="00232330">
        <w:rPr>
          <w:rFonts w:ascii="標楷體" w:eastAsia="標楷體" w:hAnsi="標楷體" w:hint="eastAsia"/>
          <w:color w:val="000000" w:themeColor="text1"/>
          <w:sz w:val="32"/>
          <w:szCs w:val="32"/>
        </w:rPr>
        <w:t>機關</w:t>
      </w:r>
      <w:r w:rsidRPr="00232330">
        <w:rPr>
          <w:rFonts w:ascii="標楷體" w:eastAsia="標楷體" w:hAnsi="標楷體" w:hint="eastAsia"/>
          <w:bCs/>
          <w:sz w:val="32"/>
          <w:szCs w:val="32"/>
        </w:rPr>
        <w:t>；並增列機關團體</w:t>
      </w:r>
      <w:r w:rsidRPr="00232330">
        <w:rPr>
          <w:rFonts w:ascii="標楷體" w:eastAsia="標楷體" w:hAnsi="標楷體" w:cs="細明體" w:hint="eastAsia"/>
          <w:color w:val="000000" w:themeColor="text1"/>
          <w:kern w:val="0"/>
          <w:sz w:val="32"/>
          <w:szCs w:val="32"/>
        </w:rPr>
        <w:t>應於每年度結束後三十日內，將前一年度公職人員自行迴避、申請迴避、職權迴避</w:t>
      </w:r>
      <w:r w:rsidRPr="00232330">
        <w:rPr>
          <w:rFonts w:ascii="標楷體" w:eastAsia="標楷體" w:hAnsi="標楷體" w:hint="eastAsia"/>
          <w:color w:val="000000" w:themeColor="text1"/>
          <w:sz w:val="32"/>
          <w:szCs w:val="32"/>
        </w:rPr>
        <w:t>情形，依第二十條所定裁罰管轄機關，彙報予監察院或法務部指定之機關（構）或單位</w:t>
      </w:r>
      <w:r w:rsidRPr="00232330">
        <w:rPr>
          <w:rFonts w:ascii="標楷體" w:eastAsia="標楷體" w:hAnsi="標楷體" w:hint="eastAsia"/>
          <w:bCs/>
          <w:sz w:val="32"/>
          <w:szCs w:val="32"/>
        </w:rPr>
        <w:t>。</w:t>
      </w:r>
    </w:p>
    <w:p w:rsidR="00233204" w:rsidRPr="00232330" w:rsidRDefault="00233204" w:rsidP="00232330">
      <w:pPr>
        <w:pStyle w:val="a3"/>
        <w:numPr>
          <w:ilvl w:val="0"/>
          <w:numId w:val="1"/>
        </w:numPr>
        <w:spacing w:line="480" w:lineRule="exact"/>
        <w:ind w:leftChars="0" w:hanging="792"/>
        <w:jc w:val="both"/>
        <w:rPr>
          <w:rFonts w:ascii="標楷體" w:eastAsia="標楷體" w:hAnsi="標楷體"/>
          <w:b/>
          <w:sz w:val="32"/>
          <w:szCs w:val="32"/>
        </w:rPr>
      </w:pPr>
      <w:r w:rsidRPr="00232330">
        <w:rPr>
          <w:rFonts w:ascii="標楷體" w:eastAsia="標楷體" w:hAnsi="標楷體" w:hint="eastAsia"/>
          <w:b/>
          <w:sz w:val="32"/>
          <w:szCs w:val="32"/>
        </w:rPr>
        <w:t>明確公職人員之關係人請託關說之禁止規範</w:t>
      </w:r>
    </w:p>
    <w:p w:rsidR="00233204" w:rsidRPr="00232330" w:rsidRDefault="00233204" w:rsidP="00232330">
      <w:pPr>
        <w:pStyle w:val="a3"/>
        <w:spacing w:line="480" w:lineRule="exact"/>
        <w:ind w:leftChars="0" w:left="792"/>
        <w:jc w:val="both"/>
        <w:rPr>
          <w:rFonts w:ascii="標楷體" w:eastAsia="標楷體" w:hAnsi="標楷體"/>
          <w:sz w:val="32"/>
          <w:szCs w:val="32"/>
        </w:rPr>
      </w:pPr>
      <w:r w:rsidRPr="00232330">
        <w:rPr>
          <w:rFonts w:ascii="標楷體" w:eastAsia="標楷體" w:hAnsi="標楷體" w:hint="eastAsia"/>
          <w:bCs/>
          <w:sz w:val="32"/>
          <w:szCs w:val="32"/>
        </w:rPr>
        <w:t>明訂</w:t>
      </w:r>
      <w:r w:rsidRPr="00232330">
        <w:rPr>
          <w:rFonts w:ascii="標楷體" w:eastAsia="標楷體" w:hAnsi="標楷體" w:hint="eastAsia"/>
          <w:sz w:val="32"/>
          <w:szCs w:val="32"/>
        </w:rPr>
        <w:t>公職人員之關係人不得向公職人員服務或受其監督之機關團體人員請託關說或以其他不當方法，</w:t>
      </w:r>
      <w:proofErr w:type="gramStart"/>
      <w:r w:rsidRPr="00232330">
        <w:rPr>
          <w:rFonts w:ascii="標楷體" w:eastAsia="標楷體" w:hAnsi="標楷體" w:hint="eastAsia"/>
          <w:sz w:val="32"/>
          <w:szCs w:val="32"/>
        </w:rPr>
        <w:t>圖其本人</w:t>
      </w:r>
      <w:proofErr w:type="gramEnd"/>
      <w:r w:rsidRPr="00232330">
        <w:rPr>
          <w:rFonts w:ascii="標楷體" w:eastAsia="標楷體" w:hAnsi="標楷體" w:hint="eastAsia"/>
          <w:sz w:val="32"/>
          <w:szCs w:val="32"/>
        </w:rPr>
        <w:t>或公職人員之利益</w:t>
      </w:r>
      <w:r w:rsidR="00BE5F6C" w:rsidRPr="00232330">
        <w:rPr>
          <w:rFonts w:ascii="標楷體" w:eastAsia="標楷體" w:hAnsi="標楷體" w:hint="eastAsia"/>
          <w:sz w:val="32"/>
          <w:szCs w:val="32"/>
        </w:rPr>
        <w:t>；並明確請託關說之定義</w:t>
      </w:r>
      <w:r w:rsidRPr="00232330">
        <w:rPr>
          <w:rFonts w:ascii="標楷體" w:eastAsia="標楷體" w:hAnsi="標楷體" w:hint="eastAsia"/>
          <w:sz w:val="32"/>
          <w:szCs w:val="32"/>
        </w:rPr>
        <w:t>。</w:t>
      </w:r>
    </w:p>
    <w:p w:rsidR="00233204" w:rsidRPr="00232330" w:rsidRDefault="00233204" w:rsidP="00232330">
      <w:pPr>
        <w:pStyle w:val="a3"/>
        <w:numPr>
          <w:ilvl w:val="0"/>
          <w:numId w:val="1"/>
        </w:numPr>
        <w:spacing w:line="480" w:lineRule="exact"/>
        <w:ind w:leftChars="0" w:hanging="792"/>
        <w:jc w:val="both"/>
        <w:rPr>
          <w:rFonts w:ascii="標楷體" w:eastAsia="標楷體" w:hAnsi="標楷體"/>
          <w:b/>
          <w:sz w:val="32"/>
          <w:szCs w:val="32"/>
        </w:rPr>
      </w:pPr>
      <w:r w:rsidRPr="00232330">
        <w:rPr>
          <w:rFonts w:ascii="標楷體" w:eastAsia="標楷體" w:hAnsi="標楷體" w:hint="eastAsia"/>
          <w:b/>
          <w:bCs/>
          <w:sz w:val="32"/>
          <w:szCs w:val="32"/>
        </w:rPr>
        <w:t>增訂公職人員或其關係人與公職人員服務之機關或受其監督機關為補助或交易行為禁止之例外規定</w:t>
      </w:r>
    </w:p>
    <w:p w:rsidR="00397598" w:rsidRPr="00232330" w:rsidRDefault="00BE5F6C" w:rsidP="00232330">
      <w:pPr>
        <w:pStyle w:val="a3"/>
        <w:numPr>
          <w:ilvl w:val="0"/>
          <w:numId w:val="4"/>
        </w:numPr>
        <w:spacing w:line="480" w:lineRule="exact"/>
        <w:ind w:leftChars="0"/>
        <w:jc w:val="both"/>
        <w:rPr>
          <w:rFonts w:ascii="標楷體" w:eastAsia="標楷體" w:hAnsi="標楷體"/>
          <w:bCs/>
          <w:sz w:val="32"/>
          <w:szCs w:val="32"/>
        </w:rPr>
      </w:pPr>
      <w:r w:rsidRPr="00232330">
        <w:rPr>
          <w:rFonts w:ascii="標楷體" w:eastAsia="標楷體" w:hAnsi="標楷體" w:hint="eastAsia"/>
          <w:sz w:val="32"/>
          <w:szCs w:val="32"/>
        </w:rPr>
        <w:t>補助行為態樣繁多，</w:t>
      </w:r>
      <w:r w:rsidRPr="00232330">
        <w:rPr>
          <w:rFonts w:ascii="標楷體" w:eastAsia="標楷體" w:hAnsi="標楷體" w:hint="eastAsia"/>
          <w:spacing w:val="6"/>
          <w:sz w:val="32"/>
          <w:szCs w:val="32"/>
        </w:rPr>
        <w:t>易生利益輸送之嫌，</w:t>
      </w:r>
      <w:proofErr w:type="gramStart"/>
      <w:r w:rsidRPr="00232330">
        <w:rPr>
          <w:rFonts w:ascii="標楷體" w:eastAsia="標楷體" w:hAnsi="標楷體" w:hint="eastAsia"/>
          <w:spacing w:val="6"/>
          <w:sz w:val="32"/>
          <w:szCs w:val="32"/>
        </w:rPr>
        <w:t>爰</w:t>
      </w:r>
      <w:proofErr w:type="gramEnd"/>
      <w:r w:rsidRPr="00232330">
        <w:rPr>
          <w:rFonts w:ascii="標楷體" w:eastAsia="標楷體" w:hAnsi="標楷體" w:hint="eastAsia"/>
          <w:spacing w:val="6"/>
          <w:sz w:val="32"/>
          <w:szCs w:val="32"/>
        </w:rPr>
        <w:t>除交易行為受禁止外，</w:t>
      </w:r>
      <w:r w:rsidR="00C81838" w:rsidRPr="00232330">
        <w:rPr>
          <w:rFonts w:ascii="標楷體" w:eastAsia="標楷體" w:hAnsi="標楷體" w:hint="eastAsia"/>
          <w:spacing w:val="6"/>
          <w:sz w:val="32"/>
          <w:szCs w:val="32"/>
        </w:rPr>
        <w:t>本次於立法院審查過程中</w:t>
      </w:r>
      <w:r w:rsidRPr="00232330">
        <w:rPr>
          <w:rFonts w:ascii="標楷體" w:eastAsia="標楷體" w:hAnsi="標楷體" w:hint="eastAsia"/>
          <w:spacing w:val="6"/>
          <w:sz w:val="32"/>
          <w:szCs w:val="32"/>
        </w:rPr>
        <w:t>另將補助行為納入禁止規範</w:t>
      </w:r>
      <w:r w:rsidRPr="00232330">
        <w:rPr>
          <w:rFonts w:ascii="標楷體" w:eastAsia="標楷體" w:hAnsi="標楷體" w:hint="eastAsia"/>
          <w:bCs/>
          <w:sz w:val="32"/>
          <w:szCs w:val="32"/>
        </w:rPr>
        <w:t>。</w:t>
      </w:r>
    </w:p>
    <w:p w:rsidR="00397598" w:rsidRPr="00232330" w:rsidRDefault="00397598" w:rsidP="00232330">
      <w:pPr>
        <w:pStyle w:val="a3"/>
        <w:numPr>
          <w:ilvl w:val="0"/>
          <w:numId w:val="4"/>
        </w:numPr>
        <w:spacing w:line="480" w:lineRule="exact"/>
        <w:ind w:leftChars="0"/>
        <w:jc w:val="both"/>
        <w:rPr>
          <w:rFonts w:ascii="標楷體" w:eastAsia="標楷體" w:hAnsi="標楷體"/>
          <w:bCs/>
          <w:sz w:val="32"/>
          <w:szCs w:val="32"/>
        </w:rPr>
      </w:pPr>
      <w:r w:rsidRPr="00232330">
        <w:rPr>
          <w:rFonts w:ascii="標楷體" w:eastAsia="標楷體" w:hAnsi="標楷體" w:hint="eastAsia"/>
          <w:bCs/>
          <w:sz w:val="32"/>
          <w:szCs w:val="32"/>
        </w:rPr>
        <w:t>復參酌司法院大法官第716號解釋意旨，增訂公職人員或其關係人與公職人員服務之機關或受公職人員監督機關為補助或交易行為限制之例外規定如下：</w:t>
      </w:r>
    </w:p>
    <w:p w:rsidR="00397598" w:rsidRPr="00232330" w:rsidRDefault="00397598" w:rsidP="00232330">
      <w:pPr>
        <w:pStyle w:val="a3"/>
        <w:numPr>
          <w:ilvl w:val="0"/>
          <w:numId w:val="6"/>
        </w:numPr>
        <w:spacing w:line="480" w:lineRule="exact"/>
        <w:ind w:leftChars="0"/>
        <w:jc w:val="both"/>
        <w:rPr>
          <w:rFonts w:ascii="標楷體" w:eastAsia="標楷體" w:hAnsi="標楷體" w:cs="細明體"/>
          <w:color w:val="000000" w:themeColor="text1"/>
          <w:kern w:val="0"/>
          <w:sz w:val="32"/>
          <w:szCs w:val="32"/>
        </w:rPr>
      </w:pPr>
      <w:r w:rsidRPr="00232330">
        <w:rPr>
          <w:rFonts w:ascii="標楷體" w:eastAsia="標楷體" w:hAnsi="標楷體" w:cs="細明體" w:hint="eastAsia"/>
          <w:color w:val="000000" w:themeColor="text1"/>
          <w:kern w:val="0"/>
          <w:sz w:val="32"/>
          <w:szCs w:val="32"/>
        </w:rPr>
        <w:t>依政府採購法以公告程序或同法第一百零五條辦理之採購。</w:t>
      </w:r>
    </w:p>
    <w:p w:rsidR="00397598" w:rsidRPr="00232330" w:rsidRDefault="00397598" w:rsidP="00232330">
      <w:pPr>
        <w:pStyle w:val="a3"/>
        <w:numPr>
          <w:ilvl w:val="0"/>
          <w:numId w:val="6"/>
        </w:numPr>
        <w:spacing w:line="480" w:lineRule="exact"/>
        <w:ind w:leftChars="0"/>
        <w:jc w:val="both"/>
        <w:rPr>
          <w:rFonts w:ascii="標楷體" w:eastAsia="標楷體" w:hAnsi="標楷體"/>
          <w:bCs/>
          <w:sz w:val="32"/>
          <w:szCs w:val="32"/>
        </w:rPr>
      </w:pPr>
      <w:r w:rsidRPr="00232330">
        <w:rPr>
          <w:rFonts w:ascii="標楷體" w:eastAsia="標楷體" w:hAnsi="標楷體" w:cs="細明體" w:hint="eastAsia"/>
          <w:color w:val="000000" w:themeColor="text1"/>
          <w:kern w:val="0"/>
          <w:sz w:val="32"/>
          <w:szCs w:val="32"/>
        </w:rPr>
        <w:t>依法令規定經由公平競爭方式，以公告程序辦理之採購、標售、標租或招標設定用益物權。</w:t>
      </w:r>
    </w:p>
    <w:p w:rsidR="00397598" w:rsidRPr="00232330" w:rsidRDefault="00397598" w:rsidP="00232330">
      <w:pPr>
        <w:pStyle w:val="a3"/>
        <w:numPr>
          <w:ilvl w:val="0"/>
          <w:numId w:val="6"/>
        </w:numPr>
        <w:spacing w:line="480" w:lineRule="exact"/>
        <w:ind w:leftChars="0"/>
        <w:jc w:val="both"/>
        <w:rPr>
          <w:rFonts w:ascii="標楷體" w:eastAsia="標楷體" w:hAnsi="標楷體"/>
          <w:bCs/>
          <w:sz w:val="32"/>
          <w:szCs w:val="32"/>
        </w:rPr>
      </w:pPr>
      <w:r w:rsidRPr="00232330">
        <w:rPr>
          <w:rFonts w:ascii="標楷體" w:eastAsia="標楷體" w:hAnsi="標楷體" w:cs="細明體" w:hint="eastAsia"/>
          <w:color w:val="000000" w:themeColor="text1"/>
          <w:kern w:val="0"/>
          <w:sz w:val="32"/>
          <w:szCs w:val="32"/>
        </w:rPr>
        <w:t>基於法定身分依法令規定申請之補助；或對公職人員之關係人依法令規定以公開公平方式辦理之補助，或禁止其</w:t>
      </w:r>
      <w:r w:rsidRPr="00232330">
        <w:rPr>
          <w:rFonts w:ascii="標楷體" w:eastAsia="標楷體" w:hAnsi="標楷體" w:cs="細明體" w:hint="eastAsia"/>
          <w:color w:val="000000" w:themeColor="text1"/>
          <w:sz w:val="32"/>
          <w:szCs w:val="32"/>
        </w:rPr>
        <w:t>補助反不利於公共利益且經補助法令主管機關核定同意之補助</w:t>
      </w:r>
      <w:r w:rsidRPr="00232330">
        <w:rPr>
          <w:rFonts w:ascii="標楷體" w:eastAsia="標楷體" w:hAnsi="標楷體" w:cs="細明體" w:hint="eastAsia"/>
          <w:color w:val="000000" w:themeColor="text1"/>
          <w:kern w:val="0"/>
          <w:sz w:val="32"/>
          <w:szCs w:val="32"/>
        </w:rPr>
        <w:t>。</w:t>
      </w:r>
    </w:p>
    <w:p w:rsidR="00397598" w:rsidRPr="00232330" w:rsidRDefault="00397598" w:rsidP="00232330">
      <w:pPr>
        <w:pStyle w:val="a3"/>
        <w:numPr>
          <w:ilvl w:val="0"/>
          <w:numId w:val="6"/>
        </w:numPr>
        <w:spacing w:line="480" w:lineRule="exact"/>
        <w:ind w:leftChars="0"/>
        <w:jc w:val="both"/>
        <w:rPr>
          <w:rFonts w:ascii="標楷體" w:eastAsia="標楷體" w:hAnsi="標楷體"/>
          <w:bCs/>
          <w:sz w:val="32"/>
          <w:szCs w:val="32"/>
        </w:rPr>
      </w:pPr>
      <w:r w:rsidRPr="00232330">
        <w:rPr>
          <w:rFonts w:ascii="標楷體" w:eastAsia="標楷體" w:hAnsi="標楷體" w:cs="細明體" w:hint="eastAsia"/>
          <w:color w:val="000000" w:themeColor="text1"/>
          <w:kern w:val="0"/>
          <w:sz w:val="32"/>
          <w:szCs w:val="32"/>
        </w:rPr>
        <w:t>交易標的為公職人員服務或受其監督之機關團體所提供，並以公定價格交易。</w:t>
      </w:r>
    </w:p>
    <w:p w:rsidR="00397598" w:rsidRPr="00232330" w:rsidRDefault="00397598" w:rsidP="00232330">
      <w:pPr>
        <w:pStyle w:val="a3"/>
        <w:numPr>
          <w:ilvl w:val="0"/>
          <w:numId w:val="6"/>
        </w:numPr>
        <w:spacing w:line="480" w:lineRule="exact"/>
        <w:ind w:leftChars="0"/>
        <w:jc w:val="both"/>
        <w:rPr>
          <w:rFonts w:ascii="標楷體" w:eastAsia="標楷體" w:hAnsi="標楷體"/>
          <w:bCs/>
          <w:sz w:val="32"/>
          <w:szCs w:val="32"/>
        </w:rPr>
      </w:pPr>
      <w:r w:rsidRPr="00232330">
        <w:rPr>
          <w:rFonts w:ascii="標楷體" w:eastAsia="標楷體" w:hAnsi="標楷體" w:cs="細明體" w:hint="eastAsia"/>
          <w:color w:val="000000" w:themeColor="text1"/>
          <w:kern w:val="0"/>
          <w:sz w:val="32"/>
          <w:szCs w:val="32"/>
        </w:rPr>
        <w:lastRenderedPageBreak/>
        <w:t>公營事業機構執行國家建設、公共政策或為公益用途</w:t>
      </w:r>
      <w:r w:rsidRPr="00232330">
        <w:rPr>
          <w:rFonts w:ascii="標楷體" w:eastAsia="標楷體" w:hAnsi="標楷體" w:hint="eastAsia"/>
          <w:color w:val="000000" w:themeColor="text1"/>
          <w:sz w:val="32"/>
          <w:szCs w:val="32"/>
        </w:rPr>
        <w:t>申請承租、承購、委託經營、改良利用國有非公用不動產。</w:t>
      </w:r>
    </w:p>
    <w:p w:rsidR="00397598" w:rsidRPr="00232330" w:rsidRDefault="00397598" w:rsidP="00232330">
      <w:pPr>
        <w:pStyle w:val="a3"/>
        <w:numPr>
          <w:ilvl w:val="0"/>
          <w:numId w:val="6"/>
        </w:numPr>
        <w:spacing w:line="480" w:lineRule="exact"/>
        <w:ind w:leftChars="0"/>
        <w:jc w:val="both"/>
        <w:rPr>
          <w:rFonts w:ascii="標楷體" w:eastAsia="標楷體" w:hAnsi="標楷體"/>
          <w:bCs/>
          <w:sz w:val="32"/>
          <w:szCs w:val="32"/>
        </w:rPr>
      </w:pPr>
      <w:r w:rsidRPr="00232330">
        <w:rPr>
          <w:rFonts w:ascii="標楷體" w:eastAsia="標楷體" w:hAnsi="標楷體" w:cs="細明體" w:hint="eastAsia"/>
          <w:color w:val="000000" w:themeColor="text1"/>
          <w:kern w:val="0"/>
          <w:sz w:val="32"/>
          <w:szCs w:val="32"/>
        </w:rPr>
        <w:t>一定金額以下之補助及交易。</w:t>
      </w:r>
    </w:p>
    <w:p w:rsidR="00397598" w:rsidRPr="00232330" w:rsidRDefault="00397598" w:rsidP="00232330">
      <w:pPr>
        <w:pStyle w:val="a3"/>
        <w:numPr>
          <w:ilvl w:val="0"/>
          <w:numId w:val="4"/>
        </w:numPr>
        <w:spacing w:line="480" w:lineRule="exact"/>
        <w:ind w:leftChars="0"/>
        <w:jc w:val="both"/>
        <w:rPr>
          <w:rFonts w:ascii="標楷體" w:eastAsia="標楷體" w:hAnsi="標楷體"/>
          <w:bCs/>
          <w:sz w:val="32"/>
          <w:szCs w:val="32"/>
        </w:rPr>
      </w:pPr>
      <w:r w:rsidRPr="00232330">
        <w:rPr>
          <w:rFonts w:ascii="標楷體" w:eastAsia="標楷體" w:hAnsi="標楷體" w:hint="eastAsia"/>
          <w:bCs/>
          <w:sz w:val="32"/>
          <w:szCs w:val="32"/>
        </w:rPr>
        <w:t>增列依公告程序辦理之交易或補助等，公職人員或其關係人應事前揭露及機關團體應事後公開身分關係之規定。</w:t>
      </w:r>
    </w:p>
    <w:p w:rsidR="00397598" w:rsidRPr="00232330" w:rsidRDefault="00397598" w:rsidP="00232330">
      <w:pPr>
        <w:pStyle w:val="a3"/>
        <w:numPr>
          <w:ilvl w:val="0"/>
          <w:numId w:val="1"/>
        </w:numPr>
        <w:spacing w:line="480" w:lineRule="exact"/>
        <w:ind w:leftChars="0" w:hanging="792"/>
        <w:jc w:val="both"/>
        <w:rPr>
          <w:rFonts w:ascii="標楷體" w:eastAsia="標楷體" w:hAnsi="標楷體"/>
          <w:b/>
          <w:sz w:val="32"/>
          <w:szCs w:val="32"/>
        </w:rPr>
      </w:pPr>
      <w:proofErr w:type="gramStart"/>
      <w:r w:rsidRPr="00232330">
        <w:rPr>
          <w:rFonts w:ascii="標楷體" w:eastAsia="標楷體" w:hAnsi="標楷體" w:hint="eastAsia"/>
          <w:b/>
          <w:sz w:val="32"/>
          <w:szCs w:val="32"/>
        </w:rPr>
        <w:t>增列受調查</w:t>
      </w:r>
      <w:proofErr w:type="gramEnd"/>
      <w:r w:rsidRPr="00232330">
        <w:rPr>
          <w:rFonts w:ascii="標楷體" w:eastAsia="標楷體" w:hAnsi="標楷體" w:hint="eastAsia"/>
          <w:b/>
          <w:sz w:val="32"/>
          <w:szCs w:val="32"/>
        </w:rPr>
        <w:t>機關之配合義務</w:t>
      </w:r>
    </w:p>
    <w:p w:rsidR="00397598" w:rsidRPr="00232330" w:rsidRDefault="00397598" w:rsidP="00232330">
      <w:pPr>
        <w:pStyle w:val="a3"/>
        <w:spacing w:line="480" w:lineRule="exact"/>
        <w:ind w:leftChars="0" w:left="792"/>
        <w:jc w:val="both"/>
        <w:rPr>
          <w:rFonts w:ascii="標楷體" w:eastAsia="標楷體" w:hAnsi="標楷體"/>
          <w:b/>
          <w:sz w:val="32"/>
          <w:szCs w:val="32"/>
        </w:rPr>
      </w:pPr>
      <w:r w:rsidRPr="00232330">
        <w:rPr>
          <w:rFonts w:ascii="標楷體" w:eastAsia="標楷體" w:hAnsi="標楷體" w:hint="eastAsia"/>
          <w:bCs/>
          <w:sz w:val="32"/>
          <w:szCs w:val="32"/>
        </w:rPr>
        <w:t>為利違反本法案件之調查，增訂受調查機關之配合義務及違反義務者之裁罰。</w:t>
      </w:r>
    </w:p>
    <w:p w:rsidR="00397598" w:rsidRPr="00232330" w:rsidRDefault="00397598" w:rsidP="00232330">
      <w:pPr>
        <w:pStyle w:val="a3"/>
        <w:numPr>
          <w:ilvl w:val="0"/>
          <w:numId w:val="1"/>
        </w:numPr>
        <w:spacing w:line="480" w:lineRule="exact"/>
        <w:ind w:leftChars="0" w:hanging="792"/>
        <w:jc w:val="both"/>
        <w:rPr>
          <w:rFonts w:ascii="標楷體" w:eastAsia="標楷體" w:hAnsi="標楷體"/>
          <w:b/>
          <w:sz w:val="32"/>
          <w:szCs w:val="32"/>
        </w:rPr>
      </w:pPr>
      <w:r w:rsidRPr="00232330">
        <w:rPr>
          <w:rFonts w:ascii="標楷體" w:eastAsia="標楷體" w:hAnsi="標楷體" w:hint="eastAsia"/>
          <w:b/>
          <w:bCs/>
          <w:sz w:val="32"/>
          <w:szCs w:val="32"/>
        </w:rPr>
        <w:t>依據不同違法行為之態樣，修正處罰鍰之金額</w:t>
      </w:r>
    </w:p>
    <w:p w:rsidR="00397598" w:rsidRPr="00232330" w:rsidRDefault="00397598" w:rsidP="00232330">
      <w:pPr>
        <w:pStyle w:val="a3"/>
        <w:spacing w:line="480" w:lineRule="exact"/>
        <w:ind w:leftChars="0" w:left="792"/>
        <w:jc w:val="both"/>
        <w:rPr>
          <w:rFonts w:ascii="標楷體" w:eastAsia="標楷體" w:hAnsi="標楷體"/>
          <w:b/>
          <w:sz w:val="32"/>
          <w:szCs w:val="32"/>
        </w:rPr>
      </w:pPr>
      <w:r w:rsidRPr="00232330">
        <w:rPr>
          <w:rFonts w:ascii="標楷體" w:eastAsia="標楷體" w:hAnsi="標楷體" w:hint="eastAsia"/>
          <w:bCs/>
          <w:sz w:val="32"/>
          <w:szCs w:val="32"/>
        </w:rPr>
        <w:t>修正不同違法行為態樣之處罰鍰金額，</w:t>
      </w:r>
      <w:proofErr w:type="gramStart"/>
      <w:r w:rsidRPr="00232330">
        <w:rPr>
          <w:rFonts w:ascii="標楷體" w:eastAsia="標楷體" w:hAnsi="標楷體" w:hint="eastAsia"/>
          <w:bCs/>
          <w:sz w:val="32"/>
          <w:szCs w:val="32"/>
        </w:rPr>
        <w:t>俾</w:t>
      </w:r>
      <w:proofErr w:type="gramEnd"/>
      <w:r w:rsidRPr="00232330">
        <w:rPr>
          <w:rFonts w:ascii="標楷體" w:eastAsia="標楷體" w:hAnsi="標楷體" w:hint="eastAsia"/>
          <w:bCs/>
          <w:sz w:val="32"/>
          <w:szCs w:val="32"/>
        </w:rPr>
        <w:t>符合比例原則。</w:t>
      </w:r>
    </w:p>
    <w:p w:rsidR="00397598" w:rsidRPr="00232330" w:rsidRDefault="00397598" w:rsidP="00232330">
      <w:pPr>
        <w:pStyle w:val="a3"/>
        <w:numPr>
          <w:ilvl w:val="0"/>
          <w:numId w:val="1"/>
        </w:numPr>
        <w:spacing w:line="480" w:lineRule="exact"/>
        <w:ind w:leftChars="0" w:hanging="792"/>
        <w:jc w:val="both"/>
        <w:rPr>
          <w:rFonts w:ascii="標楷體" w:eastAsia="標楷體" w:hAnsi="標楷體"/>
          <w:b/>
          <w:sz w:val="32"/>
          <w:szCs w:val="32"/>
        </w:rPr>
      </w:pPr>
      <w:r w:rsidRPr="00232330">
        <w:rPr>
          <w:rFonts w:ascii="標楷體" w:eastAsia="標楷體" w:hAnsi="標楷體" w:hint="eastAsia"/>
          <w:b/>
          <w:sz w:val="32"/>
          <w:szCs w:val="32"/>
        </w:rPr>
        <w:t>修正裁罰受理機關</w:t>
      </w:r>
    </w:p>
    <w:p w:rsidR="00397598" w:rsidRPr="00232330" w:rsidRDefault="00397598" w:rsidP="00232330">
      <w:pPr>
        <w:spacing w:line="480" w:lineRule="exact"/>
        <w:jc w:val="both"/>
        <w:rPr>
          <w:rFonts w:ascii="標楷體" w:eastAsia="標楷體" w:hAnsi="標楷體"/>
          <w:bCs/>
          <w:sz w:val="32"/>
          <w:szCs w:val="32"/>
        </w:rPr>
      </w:pPr>
      <w:r w:rsidRPr="00232330">
        <w:rPr>
          <w:rFonts w:ascii="標楷體" w:eastAsia="標楷體" w:hAnsi="標楷體" w:hint="eastAsia"/>
          <w:bCs/>
          <w:sz w:val="32"/>
          <w:szCs w:val="32"/>
        </w:rPr>
        <w:t xml:space="preserve">     受理裁罰機關之規定予以修正如下：</w:t>
      </w:r>
    </w:p>
    <w:p w:rsidR="00397598" w:rsidRPr="00232330" w:rsidRDefault="00397598" w:rsidP="00232330">
      <w:pPr>
        <w:pStyle w:val="a3"/>
        <w:widowControl/>
        <w:numPr>
          <w:ilvl w:val="0"/>
          <w:numId w:val="7"/>
        </w:numPr>
        <w:spacing w:line="480" w:lineRule="exact"/>
        <w:ind w:leftChars="0"/>
        <w:jc w:val="both"/>
        <w:rPr>
          <w:rFonts w:ascii="標楷體" w:eastAsia="標楷體" w:hAnsi="標楷體"/>
          <w:sz w:val="32"/>
          <w:szCs w:val="32"/>
        </w:rPr>
      </w:pPr>
      <w:r w:rsidRPr="00232330">
        <w:rPr>
          <w:rFonts w:ascii="標楷體" w:eastAsia="標楷體" w:hAnsi="標楷體" w:hint="eastAsia"/>
          <w:sz w:val="32"/>
          <w:szCs w:val="32"/>
        </w:rPr>
        <w:t>公職人員由監察院裁罰者，其關係人亦由監察院裁罰。</w:t>
      </w:r>
    </w:p>
    <w:p w:rsidR="00397598" w:rsidRPr="00232330" w:rsidRDefault="00397598" w:rsidP="00232330">
      <w:pPr>
        <w:pStyle w:val="a3"/>
        <w:widowControl/>
        <w:numPr>
          <w:ilvl w:val="0"/>
          <w:numId w:val="7"/>
        </w:numPr>
        <w:spacing w:line="480" w:lineRule="exact"/>
        <w:ind w:leftChars="0"/>
        <w:jc w:val="both"/>
        <w:rPr>
          <w:rFonts w:ascii="標楷體" w:eastAsia="標楷體" w:hAnsi="標楷體"/>
          <w:sz w:val="32"/>
          <w:szCs w:val="32"/>
        </w:rPr>
      </w:pPr>
      <w:r w:rsidRPr="00232330">
        <w:rPr>
          <w:rFonts w:ascii="標楷體" w:eastAsia="標楷體" w:hAnsi="標楷體" w:hint="eastAsia"/>
          <w:sz w:val="32"/>
          <w:szCs w:val="32"/>
        </w:rPr>
        <w:t>公職人員由法務部裁罰者，其關係人亦由法務部裁罰。</w:t>
      </w:r>
    </w:p>
    <w:p w:rsidR="00397598" w:rsidRPr="00232330" w:rsidRDefault="00397598" w:rsidP="00232330">
      <w:pPr>
        <w:pStyle w:val="a3"/>
        <w:spacing w:line="480" w:lineRule="exact"/>
        <w:ind w:leftChars="0" w:left="792"/>
        <w:jc w:val="both"/>
        <w:rPr>
          <w:rFonts w:ascii="標楷體" w:eastAsia="標楷體" w:hAnsi="標楷體"/>
          <w:sz w:val="32"/>
          <w:szCs w:val="32"/>
        </w:rPr>
      </w:pPr>
    </w:p>
    <w:p w:rsidR="00233204" w:rsidRPr="00232330" w:rsidRDefault="00233204" w:rsidP="00A71F4E">
      <w:pPr>
        <w:pStyle w:val="a3"/>
        <w:spacing w:beforeLines="50" w:before="180" w:line="480" w:lineRule="exact"/>
        <w:ind w:leftChars="0" w:left="-142" w:firstLineChars="291" w:firstLine="931"/>
        <w:jc w:val="both"/>
        <w:rPr>
          <w:rFonts w:ascii="標楷體" w:eastAsia="標楷體" w:hAnsi="標楷體"/>
          <w:bCs/>
          <w:sz w:val="32"/>
          <w:szCs w:val="32"/>
        </w:rPr>
      </w:pPr>
      <w:r w:rsidRPr="00232330">
        <w:rPr>
          <w:rFonts w:ascii="標楷體" w:eastAsia="標楷體" w:hAnsi="標楷體" w:hint="eastAsia"/>
          <w:sz w:val="32"/>
          <w:szCs w:val="32"/>
        </w:rPr>
        <w:t>本次修正</w:t>
      </w:r>
      <w:r w:rsidRPr="00232330">
        <w:rPr>
          <w:rFonts w:ascii="標楷體" w:eastAsia="標楷體" w:hAnsi="標楷體" w:cs="標楷體" w:hint="eastAsia"/>
          <w:sz w:val="32"/>
          <w:szCs w:val="32"/>
          <w:lang w:val="zh-TW"/>
        </w:rPr>
        <w:t>旨在</w:t>
      </w:r>
      <w:r w:rsidRPr="00232330">
        <w:rPr>
          <w:rFonts w:ascii="標楷體" w:eastAsia="標楷體" w:hAnsi="標楷體" w:hint="eastAsia"/>
          <w:sz w:val="32"/>
          <w:szCs w:val="32"/>
        </w:rPr>
        <w:t>要求公職人員執行職務遇有利益衝突情事時，應避免瓜田李下，以減少執行</w:t>
      </w:r>
      <w:proofErr w:type="gramStart"/>
      <w:r w:rsidRPr="00232330">
        <w:rPr>
          <w:rFonts w:ascii="標楷體" w:eastAsia="標楷體" w:hAnsi="標楷體" w:hint="eastAsia"/>
          <w:sz w:val="32"/>
          <w:szCs w:val="32"/>
        </w:rPr>
        <w:t>職務時公器</w:t>
      </w:r>
      <w:proofErr w:type="gramEnd"/>
      <w:r w:rsidRPr="00232330">
        <w:rPr>
          <w:rFonts w:ascii="標楷體" w:eastAsia="標楷體" w:hAnsi="標楷體" w:hint="eastAsia"/>
          <w:sz w:val="32"/>
          <w:szCs w:val="32"/>
        </w:rPr>
        <w:t>私用或利益輸送之機會，並使防止利益衝突之手段更符合比例原則。</w:t>
      </w:r>
    </w:p>
    <w:p w:rsidR="00233204" w:rsidRPr="00232330" w:rsidRDefault="00233204" w:rsidP="00232330">
      <w:pPr>
        <w:tabs>
          <w:tab w:val="left" w:pos="540"/>
        </w:tabs>
        <w:snapToGrid w:val="0"/>
        <w:spacing w:line="480" w:lineRule="exact"/>
        <w:jc w:val="both"/>
        <w:rPr>
          <w:rFonts w:ascii="標楷體" w:eastAsia="標楷體" w:hAnsi="標楷體" w:cs="Arial"/>
          <w:sz w:val="32"/>
          <w:szCs w:val="32"/>
        </w:rPr>
      </w:pPr>
      <w:r w:rsidRPr="00232330">
        <w:rPr>
          <w:rFonts w:ascii="標楷體" w:eastAsia="標楷體" w:hAnsi="標楷體" w:hint="eastAsia"/>
          <w:bCs/>
          <w:sz w:val="32"/>
          <w:szCs w:val="32"/>
        </w:rPr>
        <w:t xml:space="preserve">     本法自公布後六</w:t>
      </w:r>
      <w:proofErr w:type="gramStart"/>
      <w:r w:rsidRPr="00232330">
        <w:rPr>
          <w:rFonts w:ascii="標楷體" w:eastAsia="標楷體" w:hAnsi="標楷體" w:hint="eastAsia"/>
          <w:bCs/>
          <w:sz w:val="32"/>
          <w:szCs w:val="32"/>
        </w:rPr>
        <w:t>個</w:t>
      </w:r>
      <w:proofErr w:type="gramEnd"/>
      <w:r w:rsidRPr="00232330">
        <w:rPr>
          <w:rFonts w:ascii="標楷體" w:eastAsia="標楷體" w:hAnsi="標楷體" w:hint="eastAsia"/>
          <w:bCs/>
          <w:sz w:val="32"/>
          <w:szCs w:val="32"/>
        </w:rPr>
        <w:t>月施行，法務部將於六</w:t>
      </w:r>
      <w:proofErr w:type="gramStart"/>
      <w:r w:rsidRPr="00232330">
        <w:rPr>
          <w:rFonts w:ascii="標楷體" w:eastAsia="標楷體" w:hAnsi="標楷體" w:hint="eastAsia"/>
          <w:bCs/>
          <w:sz w:val="32"/>
          <w:szCs w:val="32"/>
        </w:rPr>
        <w:t>個</w:t>
      </w:r>
      <w:proofErr w:type="gramEnd"/>
      <w:r w:rsidRPr="00232330">
        <w:rPr>
          <w:rFonts w:ascii="標楷體" w:eastAsia="標楷體" w:hAnsi="標楷體" w:hint="eastAsia"/>
          <w:bCs/>
          <w:sz w:val="32"/>
          <w:szCs w:val="32"/>
        </w:rPr>
        <w:t>月內制定施行細則並加強宣導，</w:t>
      </w:r>
      <w:proofErr w:type="gramStart"/>
      <w:r w:rsidRPr="00232330">
        <w:rPr>
          <w:rFonts w:ascii="標楷體" w:eastAsia="標楷體" w:hAnsi="標楷體" w:hint="eastAsia"/>
          <w:bCs/>
          <w:sz w:val="32"/>
          <w:szCs w:val="32"/>
        </w:rPr>
        <w:t>俾</w:t>
      </w:r>
      <w:proofErr w:type="gramEnd"/>
      <w:r w:rsidRPr="00232330">
        <w:rPr>
          <w:rFonts w:ascii="標楷體" w:eastAsia="標楷體" w:hAnsi="標楷體" w:hint="eastAsia"/>
          <w:bCs/>
          <w:sz w:val="32"/>
          <w:szCs w:val="32"/>
        </w:rPr>
        <w:t>利後續執行。</w:t>
      </w:r>
    </w:p>
    <w:p w:rsidR="00326EEF" w:rsidRPr="00232330" w:rsidRDefault="00326EEF" w:rsidP="00232330">
      <w:pPr>
        <w:spacing w:line="480" w:lineRule="exact"/>
        <w:jc w:val="both"/>
        <w:rPr>
          <w:sz w:val="32"/>
          <w:szCs w:val="32"/>
        </w:rPr>
      </w:pPr>
    </w:p>
    <w:sectPr w:rsidR="00326EEF" w:rsidRPr="00232330" w:rsidSect="005502D4">
      <w:footerReference w:type="default" r:id="rId10"/>
      <w:pgSz w:w="11906" w:h="16838"/>
      <w:pgMar w:top="1440" w:right="1800" w:bottom="1440" w:left="1800"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2F" w:rsidRDefault="00AD0D2F" w:rsidP="005502D4">
      <w:r>
        <w:separator/>
      </w:r>
    </w:p>
  </w:endnote>
  <w:endnote w:type="continuationSeparator" w:id="0">
    <w:p w:rsidR="00AD0D2F" w:rsidRDefault="00AD0D2F" w:rsidP="0055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37458"/>
      <w:docPartObj>
        <w:docPartGallery w:val="Page Numbers (Bottom of Page)"/>
        <w:docPartUnique/>
      </w:docPartObj>
    </w:sdtPr>
    <w:sdtEndPr/>
    <w:sdtContent>
      <w:p w:rsidR="005502D4" w:rsidRDefault="000D1A05">
        <w:pPr>
          <w:pStyle w:val="aa"/>
          <w:jc w:val="center"/>
        </w:pPr>
        <w:r>
          <w:fldChar w:fldCharType="begin"/>
        </w:r>
        <w:r>
          <w:instrText xml:space="preserve"> PAGE   \* MERGEFORMAT </w:instrText>
        </w:r>
        <w:r>
          <w:fldChar w:fldCharType="separate"/>
        </w:r>
        <w:r w:rsidR="001E7430" w:rsidRPr="001E7430">
          <w:rPr>
            <w:noProof/>
            <w:lang w:val="zh-TW"/>
          </w:rPr>
          <w:t>1</w:t>
        </w:r>
        <w:r>
          <w:rPr>
            <w:noProof/>
            <w:lang w:val="zh-TW"/>
          </w:rPr>
          <w:fldChar w:fldCharType="end"/>
        </w:r>
      </w:p>
    </w:sdtContent>
  </w:sdt>
  <w:p w:rsidR="005502D4" w:rsidRDefault="005502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2F" w:rsidRDefault="00AD0D2F" w:rsidP="005502D4">
      <w:r>
        <w:separator/>
      </w:r>
    </w:p>
  </w:footnote>
  <w:footnote w:type="continuationSeparator" w:id="0">
    <w:p w:rsidR="00AD0D2F" w:rsidRDefault="00AD0D2F" w:rsidP="00550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6C25"/>
    <w:multiLevelType w:val="hybridMultilevel"/>
    <w:tmpl w:val="6F489C06"/>
    <w:lvl w:ilvl="0" w:tplc="8D5A21D6">
      <w:start w:val="1"/>
      <w:numFmt w:val="taiwaneseCountingThousand"/>
      <w:lvlText w:val="%1、"/>
      <w:lvlJc w:val="left"/>
      <w:pPr>
        <w:tabs>
          <w:tab w:val="num" w:pos="480"/>
        </w:tabs>
        <w:ind w:left="480" w:hanging="480"/>
      </w:pPr>
      <w:rPr>
        <w:rFonts w:cs="Times New Roman" w:hint="default"/>
        <w:color w:val="000000"/>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A66452C"/>
    <w:multiLevelType w:val="hybridMultilevel"/>
    <w:tmpl w:val="DE74900C"/>
    <w:lvl w:ilvl="0" w:tplc="8CC29056">
      <w:start w:val="1"/>
      <w:numFmt w:val="decimal"/>
      <w:lvlText w:val="（%1）"/>
      <w:lvlJc w:val="left"/>
      <w:pPr>
        <w:ind w:left="2064" w:hanging="732"/>
      </w:pPr>
      <w:rPr>
        <w:rFonts w:hint="default"/>
        <w:b w:val="0"/>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2">
    <w:nsid w:val="53A35D9E"/>
    <w:multiLevelType w:val="hybridMultilevel"/>
    <w:tmpl w:val="6B66990C"/>
    <w:lvl w:ilvl="0" w:tplc="0E90021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8BB3695"/>
    <w:multiLevelType w:val="hybridMultilevel"/>
    <w:tmpl w:val="EC2E5954"/>
    <w:lvl w:ilvl="0" w:tplc="DCE4BCE4">
      <w:start w:val="1"/>
      <w:numFmt w:val="taiwaneseCountingThousand"/>
      <w:lvlText w:val="%1、"/>
      <w:lvlJc w:val="left"/>
      <w:pPr>
        <w:ind w:left="792" w:hanging="504"/>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
    <w:nsid w:val="5B7C6C77"/>
    <w:multiLevelType w:val="hybridMultilevel"/>
    <w:tmpl w:val="FDD2018A"/>
    <w:lvl w:ilvl="0" w:tplc="8B8E3D5A">
      <w:start w:val="1"/>
      <w:numFmt w:val="decimal"/>
      <w:lvlText w:val="%1."/>
      <w:lvlJc w:val="left"/>
      <w:pPr>
        <w:ind w:left="1464" w:hanging="384"/>
      </w:pPr>
      <w:rPr>
        <w:rFonts w:cstheme="minorBidi" w:hint="default"/>
        <w:color w:val="auto"/>
        <w:sz w:val="32"/>
        <w:szCs w:val="32"/>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nsid w:val="5E2D3EC4"/>
    <w:multiLevelType w:val="hybridMultilevel"/>
    <w:tmpl w:val="21C2820A"/>
    <w:lvl w:ilvl="0" w:tplc="37CE541E">
      <w:start w:val="1"/>
      <w:numFmt w:val="taiwaneseCountingThousand"/>
      <w:lvlText w:val="（%1）"/>
      <w:lvlJc w:val="left"/>
      <w:pPr>
        <w:ind w:left="1548" w:hanging="1080"/>
      </w:pPr>
      <w:rPr>
        <w:rFonts w:hint="default"/>
        <w:b w:val="0"/>
        <w:sz w:val="32"/>
        <w:szCs w:val="32"/>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6">
    <w:nsid w:val="78CF7E7E"/>
    <w:multiLevelType w:val="hybridMultilevel"/>
    <w:tmpl w:val="CC242E24"/>
    <w:lvl w:ilvl="0" w:tplc="81007E46">
      <w:start w:val="1"/>
      <w:numFmt w:val="decimal"/>
      <w:lvlText w:val="%1."/>
      <w:lvlJc w:val="left"/>
      <w:pPr>
        <w:ind w:left="1692" w:hanging="36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04"/>
    <w:rsid w:val="000D1A05"/>
    <w:rsid w:val="001E7430"/>
    <w:rsid w:val="00232330"/>
    <w:rsid w:val="00233204"/>
    <w:rsid w:val="00326EEF"/>
    <w:rsid w:val="00364F4C"/>
    <w:rsid w:val="00397598"/>
    <w:rsid w:val="004319F9"/>
    <w:rsid w:val="004D3BFC"/>
    <w:rsid w:val="005502D4"/>
    <w:rsid w:val="00915776"/>
    <w:rsid w:val="009E21DF"/>
    <w:rsid w:val="00A44D23"/>
    <w:rsid w:val="00A658D4"/>
    <w:rsid w:val="00A71F4E"/>
    <w:rsid w:val="00AD0D2F"/>
    <w:rsid w:val="00B7150D"/>
    <w:rsid w:val="00BE5F6C"/>
    <w:rsid w:val="00C81838"/>
    <w:rsid w:val="00CF5451"/>
    <w:rsid w:val="00E76C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204"/>
    <w:pPr>
      <w:ind w:leftChars="200" w:left="480"/>
    </w:pPr>
    <w:rPr>
      <w:rFonts w:asciiTheme="minorHAnsi" w:eastAsiaTheme="minorEastAsia" w:hAnsiTheme="minorHAnsi" w:cstheme="minorBidi"/>
      <w:szCs w:val="22"/>
    </w:rPr>
  </w:style>
  <w:style w:type="paragraph" w:styleId="a4">
    <w:name w:val="Balloon Text"/>
    <w:basedOn w:val="a"/>
    <w:link w:val="a5"/>
    <w:uiPriority w:val="99"/>
    <w:semiHidden/>
    <w:unhideWhenUsed/>
    <w:rsid w:val="0023320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33204"/>
    <w:rPr>
      <w:rFonts w:asciiTheme="majorHAnsi" w:eastAsiaTheme="majorEastAsia" w:hAnsiTheme="majorHAnsi" w:cstheme="majorBidi"/>
      <w:sz w:val="18"/>
      <w:szCs w:val="18"/>
    </w:rPr>
  </w:style>
  <w:style w:type="character" w:styleId="a6">
    <w:name w:val="Hyperlink"/>
    <w:basedOn w:val="a0"/>
    <w:uiPriority w:val="99"/>
    <w:unhideWhenUsed/>
    <w:rsid w:val="00397598"/>
    <w:rPr>
      <w:color w:val="0000FF" w:themeColor="hyperlink"/>
      <w:u w:val="single"/>
    </w:rPr>
  </w:style>
  <w:style w:type="paragraph" w:styleId="a7">
    <w:name w:val="Block Text"/>
    <w:basedOn w:val="a"/>
    <w:uiPriority w:val="99"/>
    <w:rsid w:val="00397598"/>
    <w:pPr>
      <w:ind w:left="692" w:right="57" w:hanging="692"/>
      <w:jc w:val="both"/>
    </w:pPr>
    <w:rPr>
      <w:szCs w:val="20"/>
    </w:rPr>
  </w:style>
  <w:style w:type="paragraph" w:styleId="a8">
    <w:name w:val="header"/>
    <w:basedOn w:val="a"/>
    <w:link w:val="a9"/>
    <w:uiPriority w:val="99"/>
    <w:semiHidden/>
    <w:unhideWhenUsed/>
    <w:rsid w:val="005502D4"/>
    <w:pPr>
      <w:tabs>
        <w:tab w:val="center" w:pos="4153"/>
        <w:tab w:val="right" w:pos="8306"/>
      </w:tabs>
      <w:snapToGrid w:val="0"/>
    </w:pPr>
    <w:rPr>
      <w:sz w:val="20"/>
      <w:szCs w:val="20"/>
    </w:rPr>
  </w:style>
  <w:style w:type="character" w:customStyle="1" w:styleId="a9">
    <w:name w:val="頁首 字元"/>
    <w:basedOn w:val="a0"/>
    <w:link w:val="a8"/>
    <w:uiPriority w:val="99"/>
    <w:semiHidden/>
    <w:rsid w:val="005502D4"/>
    <w:rPr>
      <w:rFonts w:ascii="Times New Roman" w:eastAsia="新細明體" w:hAnsi="Times New Roman" w:cs="Times New Roman"/>
      <w:sz w:val="20"/>
      <w:szCs w:val="20"/>
    </w:rPr>
  </w:style>
  <w:style w:type="paragraph" w:styleId="aa">
    <w:name w:val="footer"/>
    <w:basedOn w:val="a"/>
    <w:link w:val="ab"/>
    <w:uiPriority w:val="99"/>
    <w:unhideWhenUsed/>
    <w:rsid w:val="005502D4"/>
    <w:pPr>
      <w:tabs>
        <w:tab w:val="center" w:pos="4153"/>
        <w:tab w:val="right" w:pos="8306"/>
      </w:tabs>
      <w:snapToGrid w:val="0"/>
    </w:pPr>
    <w:rPr>
      <w:sz w:val="20"/>
      <w:szCs w:val="20"/>
    </w:rPr>
  </w:style>
  <w:style w:type="character" w:customStyle="1" w:styleId="ab">
    <w:name w:val="頁尾 字元"/>
    <w:basedOn w:val="a0"/>
    <w:link w:val="aa"/>
    <w:uiPriority w:val="99"/>
    <w:rsid w:val="005502D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204"/>
    <w:pPr>
      <w:ind w:leftChars="200" w:left="480"/>
    </w:pPr>
    <w:rPr>
      <w:rFonts w:asciiTheme="minorHAnsi" w:eastAsiaTheme="minorEastAsia" w:hAnsiTheme="minorHAnsi" w:cstheme="minorBidi"/>
      <w:szCs w:val="22"/>
    </w:rPr>
  </w:style>
  <w:style w:type="paragraph" w:styleId="a4">
    <w:name w:val="Balloon Text"/>
    <w:basedOn w:val="a"/>
    <w:link w:val="a5"/>
    <w:uiPriority w:val="99"/>
    <w:semiHidden/>
    <w:unhideWhenUsed/>
    <w:rsid w:val="0023320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33204"/>
    <w:rPr>
      <w:rFonts w:asciiTheme="majorHAnsi" w:eastAsiaTheme="majorEastAsia" w:hAnsiTheme="majorHAnsi" w:cstheme="majorBidi"/>
      <w:sz w:val="18"/>
      <w:szCs w:val="18"/>
    </w:rPr>
  </w:style>
  <w:style w:type="character" w:styleId="a6">
    <w:name w:val="Hyperlink"/>
    <w:basedOn w:val="a0"/>
    <w:uiPriority w:val="99"/>
    <w:unhideWhenUsed/>
    <w:rsid w:val="00397598"/>
    <w:rPr>
      <w:color w:val="0000FF" w:themeColor="hyperlink"/>
      <w:u w:val="single"/>
    </w:rPr>
  </w:style>
  <w:style w:type="paragraph" w:styleId="a7">
    <w:name w:val="Block Text"/>
    <w:basedOn w:val="a"/>
    <w:uiPriority w:val="99"/>
    <w:rsid w:val="00397598"/>
    <w:pPr>
      <w:ind w:left="692" w:right="57" w:hanging="692"/>
      <w:jc w:val="both"/>
    </w:pPr>
    <w:rPr>
      <w:szCs w:val="20"/>
    </w:rPr>
  </w:style>
  <w:style w:type="paragraph" w:styleId="a8">
    <w:name w:val="header"/>
    <w:basedOn w:val="a"/>
    <w:link w:val="a9"/>
    <w:uiPriority w:val="99"/>
    <w:semiHidden/>
    <w:unhideWhenUsed/>
    <w:rsid w:val="005502D4"/>
    <w:pPr>
      <w:tabs>
        <w:tab w:val="center" w:pos="4153"/>
        <w:tab w:val="right" w:pos="8306"/>
      </w:tabs>
      <w:snapToGrid w:val="0"/>
    </w:pPr>
    <w:rPr>
      <w:sz w:val="20"/>
      <w:szCs w:val="20"/>
    </w:rPr>
  </w:style>
  <w:style w:type="character" w:customStyle="1" w:styleId="a9">
    <w:name w:val="頁首 字元"/>
    <w:basedOn w:val="a0"/>
    <w:link w:val="a8"/>
    <w:uiPriority w:val="99"/>
    <w:semiHidden/>
    <w:rsid w:val="005502D4"/>
    <w:rPr>
      <w:rFonts w:ascii="Times New Roman" w:eastAsia="新細明體" w:hAnsi="Times New Roman" w:cs="Times New Roman"/>
      <w:sz w:val="20"/>
      <w:szCs w:val="20"/>
    </w:rPr>
  </w:style>
  <w:style w:type="paragraph" w:styleId="aa">
    <w:name w:val="footer"/>
    <w:basedOn w:val="a"/>
    <w:link w:val="ab"/>
    <w:uiPriority w:val="99"/>
    <w:unhideWhenUsed/>
    <w:rsid w:val="005502D4"/>
    <w:pPr>
      <w:tabs>
        <w:tab w:val="center" w:pos="4153"/>
        <w:tab w:val="right" w:pos="8306"/>
      </w:tabs>
      <w:snapToGrid w:val="0"/>
    </w:pPr>
    <w:rPr>
      <w:sz w:val="20"/>
      <w:szCs w:val="20"/>
    </w:rPr>
  </w:style>
  <w:style w:type="character" w:customStyle="1" w:styleId="ab">
    <w:name w:val="頁尾 字元"/>
    <w:basedOn w:val="a0"/>
    <w:link w:val="aa"/>
    <w:uiPriority w:val="99"/>
    <w:rsid w:val="005502D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CA9F0-6E95-4EAC-AEDC-327C2CD0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1368</Characters>
  <Application>Microsoft Office Word</Application>
  <DocSecurity>0</DocSecurity>
  <Lines>11</Lines>
  <Paragraphs>3</Paragraphs>
  <ScaleCrop>false</ScaleCrop>
  <Company>MOJ</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高淑姿</cp:lastModifiedBy>
  <cp:revision>2</cp:revision>
  <cp:lastPrinted>2018-06-26T05:51:00Z</cp:lastPrinted>
  <dcterms:created xsi:type="dcterms:W3CDTF">2019-03-26T07:22:00Z</dcterms:created>
  <dcterms:modified xsi:type="dcterms:W3CDTF">2019-03-26T07:22:00Z</dcterms:modified>
</cp:coreProperties>
</file>