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480"/>
          <w:tab w:val="left" w:pos="3206" w:leader="none"/>
        </w:tabs>
        <w:spacing w:lineRule="exact" w:line="400"/>
        <w:ind w:hanging="0" w:left="-142" w:right="0"/>
        <w:rPr>
          <w:rFonts w:ascii="標楷體" w:hAnsi="標楷體" w:eastAsia="標楷體"/>
          <w:sz w:val="28"/>
          <w:szCs w:val="28"/>
        </w:rPr>
      </w:pPr>
      <w:bookmarkStart w:id="0" w:name="_GoBack"/>
      <w:bookmarkEnd w:id="0"/>
      <w:r>
        <w:rPr>
          <w:rFonts w:ascii="標楷體" w:hAnsi="標楷體" w:eastAsia="標楷體"/>
          <w:sz w:val="28"/>
          <w:szCs w:val="28"/>
        </w:rPr>
        <w:t>附件三</w:t>
      </w:r>
    </w:p>
    <w:p>
      <w:pPr>
        <w:pStyle w:val="Normal"/>
        <w:spacing w:lineRule="exact" w:line="560"/>
        <w:ind w:hanging="0" w:left="-142" w:right="-286"/>
        <w:jc w:val="center"/>
        <w:rPr>
          <w:rFonts w:ascii="標楷體" w:hAnsi="標楷體" w:eastAsia="標楷體"/>
          <w:sz w:val="36"/>
          <w:szCs w:val="28"/>
        </w:rPr>
      </w:pPr>
      <w:r>
        <w:rPr>
          <w:rFonts w:ascii="標楷體" w:hAnsi="標楷體" w:eastAsia="標楷體"/>
          <w:sz w:val="36"/>
          <w:szCs w:val="28"/>
        </w:rPr>
        <w:t>桃園市公園場地使用營利行為展售活動資料表</w:t>
      </w:r>
    </w:p>
    <w:tbl>
      <w:tblPr>
        <w:tblW w:w="9515" w:type="dxa"/>
        <w:jc w:val="left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3"/>
        <w:gridCol w:w="2693"/>
        <w:gridCol w:w="1418"/>
        <w:gridCol w:w="1133"/>
        <w:gridCol w:w="2300"/>
        <w:gridCol w:w="1278"/>
      </w:tblGrid>
      <w:tr>
        <w:trPr>
          <w:trHeight w:val="810" w:hRule="atLeast"/>
        </w:trPr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名稱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使用期間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     年     月    日   時起至     年     月    日   時止</w:t>
            </w:r>
          </w:p>
        </w:tc>
      </w:tr>
      <w:tr>
        <w:trPr>
          <w:trHeight w:val="418" w:hRule="atLeast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攤位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編號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負責人姓名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展售項目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連絡電話</w:t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統一編號</w:t>
            </w:r>
          </w:p>
        </w:tc>
      </w:tr>
      <w:tr>
        <w:trPr>
          <w:trHeight w:val="418" w:hRule="atLeast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負責人地址</w:t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47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  <w:cantSplit w:val="true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47" w:hRule="atLeast"/>
          <w:cantSplit w:val="true"/>
        </w:trPr>
        <w:tc>
          <w:tcPr>
            <w:tcW w:w="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5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paragraph" w:styleId="Style16">
    <w:name w:val="標題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思源黑體 T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qFormat/>
    <w:pPr>
      <w:ind w:hanging="0" w:left="480" w:right="0"/>
    </w:pPr>
    <w:rPr/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9">
    <w:name w:val="表格內容"/>
    <w:basedOn w:val="Normal"/>
    <w:qFormat/>
    <w:pPr>
      <w:widowControl w:val="false"/>
      <w:suppressLineNumbers/>
    </w:pPr>
    <w:rPr/>
  </w:style>
  <w:style w:type="numbering" w:styleId="Style20">
    <w:name w:val="無清單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77</Words>
  <Characters>77</Characters>
  <CharactersWithSpaces>111</CharactersWithSpaces>
  <Paragraphs>15</Paragraphs>
  <Company>SYNNEX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2017-06-08T11:37:00Z</dcterms:created>
  <dc:creator>林映汝</dc:creator>
  <dc:description/>
  <dc:language>zh-TW</dc:language>
  <cp:lastModifiedBy>林映汝</cp:lastModifiedBy>
  <cp:lastPrinted>2017-06-08T11:20:00Z</cp:lastPrinted>
  <dcterms:modified xsi:type="dcterms:W3CDTF">2017-06-08T12:15:00Z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