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7C1" w:rsidRPr="009177C1" w:rsidRDefault="009177C1">
      <w:pPr>
        <w:widowControl/>
      </w:pPr>
    </w:p>
    <w:tbl>
      <w:tblPr>
        <w:tblStyle w:val="ab"/>
        <w:tblW w:w="110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11"/>
        <w:gridCol w:w="835"/>
        <w:gridCol w:w="708"/>
        <w:gridCol w:w="2410"/>
        <w:gridCol w:w="2552"/>
        <w:gridCol w:w="2126"/>
      </w:tblGrid>
      <w:tr w:rsidR="001E30E7" w:rsidRPr="001E30E7" w:rsidTr="0068523F">
        <w:trPr>
          <w:tblHeader/>
          <w:jc w:val="center"/>
        </w:trPr>
        <w:tc>
          <w:tcPr>
            <w:tcW w:w="11042" w:type="dxa"/>
            <w:gridSpan w:val="6"/>
            <w:shd w:val="clear" w:color="auto" w:fill="F7CAAC" w:themeFill="accent2" w:themeFillTint="66"/>
            <w:vAlign w:val="center"/>
          </w:tcPr>
          <w:p w:rsidR="00F31D7E" w:rsidRPr="001E30E7" w:rsidRDefault="00F31D7E" w:rsidP="0085094A">
            <w:pPr>
              <w:spacing w:line="280" w:lineRule="exact"/>
              <w:jc w:val="center"/>
              <w:rPr>
                <w:rFonts w:ascii="標楷體" w:eastAsia="標楷體" w:hAnsi="標楷體"/>
                <w:b/>
                <w:sz w:val="24"/>
                <w:szCs w:val="24"/>
              </w:rPr>
            </w:pPr>
            <w:r w:rsidRPr="001E30E7">
              <w:rPr>
                <w:rFonts w:ascii="標楷體" w:eastAsia="標楷體" w:hAnsi="標楷體" w:hint="eastAsia"/>
                <w:b/>
                <w:sz w:val="24"/>
                <w:szCs w:val="24"/>
              </w:rPr>
              <w:t>三、桃</w:t>
            </w:r>
            <w:r w:rsidRPr="001E30E7">
              <w:rPr>
                <w:rFonts w:ascii="標楷體" w:eastAsia="標楷體" w:hAnsi="標楷體"/>
                <w:b/>
                <w:sz w:val="24"/>
                <w:szCs w:val="24"/>
              </w:rPr>
              <w:t>園</w:t>
            </w:r>
            <w:r w:rsidRPr="001E30E7">
              <w:rPr>
                <w:rFonts w:ascii="標楷體" w:eastAsia="標楷體" w:hAnsi="標楷體" w:hint="eastAsia"/>
                <w:b/>
                <w:sz w:val="24"/>
                <w:szCs w:val="24"/>
              </w:rPr>
              <w:t>市</w:t>
            </w:r>
            <w:r w:rsidRPr="001E30E7">
              <w:rPr>
                <w:rFonts w:ascii="標楷體" w:eastAsia="標楷體" w:hAnsi="標楷體"/>
                <w:b/>
                <w:sz w:val="24"/>
                <w:szCs w:val="24"/>
              </w:rPr>
              <w:t>性別平權政策方針</w:t>
            </w:r>
            <w:r w:rsidRPr="001E30E7">
              <w:rPr>
                <w:rFonts w:ascii="標楷體" w:eastAsia="標楷體" w:hAnsi="標楷體" w:hint="eastAsia"/>
                <w:b/>
                <w:sz w:val="24"/>
                <w:szCs w:val="24"/>
              </w:rPr>
              <w:t>-教育</w:t>
            </w:r>
            <w:r w:rsidRPr="001E30E7">
              <w:rPr>
                <w:rFonts w:ascii="標楷體" w:eastAsia="標楷體" w:hAnsi="標楷體"/>
                <w:b/>
                <w:sz w:val="24"/>
                <w:szCs w:val="24"/>
              </w:rPr>
              <w:t>、文化與媒體</w:t>
            </w:r>
            <w:r w:rsidRPr="001E30E7">
              <w:rPr>
                <w:rFonts w:ascii="標楷體" w:eastAsia="標楷體" w:hAnsi="標楷體" w:hint="eastAsia"/>
                <w:b/>
                <w:sz w:val="24"/>
                <w:szCs w:val="24"/>
              </w:rPr>
              <w:t>面向分工表</w:t>
            </w:r>
          </w:p>
        </w:tc>
      </w:tr>
      <w:tr w:rsidR="001E30E7" w:rsidRPr="001E30E7" w:rsidTr="0068523F">
        <w:trPr>
          <w:tblHeader/>
          <w:jc w:val="center"/>
        </w:trPr>
        <w:tc>
          <w:tcPr>
            <w:tcW w:w="2411" w:type="dxa"/>
            <w:vAlign w:val="center"/>
          </w:tcPr>
          <w:p w:rsidR="00F31D7E" w:rsidRPr="001E30E7" w:rsidRDefault="00F31D7E" w:rsidP="0085094A">
            <w:pPr>
              <w:spacing w:line="280" w:lineRule="exact"/>
              <w:jc w:val="center"/>
              <w:rPr>
                <w:rFonts w:ascii="標楷體" w:eastAsia="標楷體" w:hAnsi="標楷體"/>
                <w:b/>
                <w:sz w:val="24"/>
                <w:szCs w:val="24"/>
              </w:rPr>
            </w:pPr>
            <w:r w:rsidRPr="001E30E7">
              <w:rPr>
                <w:rFonts w:ascii="標楷體" w:eastAsia="標楷體" w:hAnsi="標楷體" w:hint="eastAsia"/>
                <w:b/>
                <w:sz w:val="24"/>
                <w:szCs w:val="24"/>
              </w:rPr>
              <w:t>政</w:t>
            </w:r>
            <w:r w:rsidRPr="001E30E7">
              <w:rPr>
                <w:rFonts w:ascii="標楷體" w:eastAsia="標楷體" w:hAnsi="標楷體"/>
                <w:b/>
                <w:sz w:val="24"/>
                <w:szCs w:val="24"/>
              </w:rPr>
              <w:t>策內涵</w:t>
            </w:r>
          </w:p>
        </w:tc>
        <w:tc>
          <w:tcPr>
            <w:tcW w:w="8631" w:type="dxa"/>
            <w:gridSpan w:val="5"/>
            <w:vAlign w:val="center"/>
          </w:tcPr>
          <w:p w:rsidR="00F31D7E" w:rsidRPr="001E30E7" w:rsidRDefault="00F31D7E" w:rsidP="0085094A">
            <w:pPr>
              <w:spacing w:line="280" w:lineRule="exact"/>
              <w:jc w:val="both"/>
              <w:rPr>
                <w:rFonts w:ascii="標楷體" w:eastAsia="標楷體" w:hAnsi="標楷體"/>
                <w:b/>
                <w:sz w:val="24"/>
                <w:szCs w:val="24"/>
              </w:rPr>
            </w:pPr>
            <w:r w:rsidRPr="001E30E7">
              <w:rPr>
                <w:rFonts w:ascii="標楷體" w:eastAsia="標楷體" w:hAnsi="標楷體" w:hint="eastAsia"/>
                <w:sz w:val="24"/>
                <w:szCs w:val="24"/>
              </w:rPr>
              <w:t>1</w:t>
            </w:r>
            <w:r w:rsidRPr="001E30E7">
              <w:rPr>
                <w:rFonts w:ascii="標楷體" w:eastAsia="標楷體" w:hAnsi="標楷體"/>
                <w:sz w:val="24"/>
                <w:szCs w:val="24"/>
              </w:rPr>
              <w:t>.</w:t>
            </w:r>
            <w:r w:rsidRPr="001E30E7">
              <w:rPr>
                <w:rFonts w:ascii="標楷體" w:eastAsia="標楷體" w:hAnsi="標楷體" w:hint="eastAsia"/>
                <w:sz w:val="24"/>
                <w:szCs w:val="24"/>
              </w:rPr>
              <w:t>認知性別平等和婦女教育人權的重要性。2.消除對婦女的教育之不平等及歧視。3.</w:t>
            </w:r>
            <w:r w:rsidRPr="001E30E7">
              <w:rPr>
                <w:rFonts w:ascii="標楷體" w:eastAsia="標楷體" w:hAnsi="標楷體" w:cs="新細明體" w:hint="eastAsia"/>
                <w:sz w:val="24"/>
                <w:szCs w:val="24"/>
              </w:rPr>
              <w:t>認知社會經濟因素和教育差距之相關性。4</w:t>
            </w:r>
            <w:r w:rsidRPr="001E30E7">
              <w:rPr>
                <w:rFonts w:ascii="標楷體" w:eastAsia="標楷體" w:hAnsi="標楷體" w:cs="新細明體"/>
                <w:sz w:val="24"/>
                <w:szCs w:val="24"/>
              </w:rPr>
              <w:t>.</w:t>
            </w:r>
            <w:r w:rsidRPr="001E30E7">
              <w:rPr>
                <w:rFonts w:ascii="標楷體" w:eastAsia="標楷體" w:hAnsi="標楷體" w:cs="新細明體" w:hint="eastAsia"/>
                <w:sz w:val="24"/>
                <w:szCs w:val="24"/>
              </w:rPr>
              <w:t>提升女性教育決策之充權及自主性。</w:t>
            </w:r>
            <w:r w:rsidRPr="001E30E7">
              <w:rPr>
                <w:rFonts w:ascii="標楷體" w:eastAsia="標楷體" w:hAnsi="標楷體" w:hint="eastAsia"/>
                <w:sz w:val="24"/>
                <w:szCs w:val="24"/>
              </w:rPr>
              <w:t>5</w:t>
            </w:r>
            <w:r w:rsidRPr="001E30E7">
              <w:rPr>
                <w:rFonts w:ascii="標楷體" w:eastAsia="標楷體" w:hAnsi="標楷體"/>
                <w:sz w:val="24"/>
                <w:szCs w:val="24"/>
              </w:rPr>
              <w:t>.</w:t>
            </w:r>
            <w:r w:rsidRPr="001E30E7">
              <w:rPr>
                <w:rFonts w:ascii="標楷體" w:eastAsia="標楷體" w:hAnsi="標楷體" w:cs="新細明體" w:hint="eastAsia"/>
                <w:sz w:val="24"/>
                <w:szCs w:val="24"/>
              </w:rPr>
              <w:t>確保跨部門整合具性別意識及多元文化觀點的婦女教育政策和基礎設施。</w:t>
            </w:r>
          </w:p>
        </w:tc>
      </w:tr>
      <w:tr w:rsidR="009D164C" w:rsidRPr="001E30E7" w:rsidTr="0068523F">
        <w:trPr>
          <w:tblHeader/>
          <w:jc w:val="center"/>
        </w:trPr>
        <w:tc>
          <w:tcPr>
            <w:tcW w:w="2411" w:type="dxa"/>
            <w:vAlign w:val="center"/>
          </w:tcPr>
          <w:p w:rsidR="009D164C" w:rsidRPr="001E30E7" w:rsidRDefault="009D164C" w:rsidP="0085094A">
            <w:pPr>
              <w:spacing w:line="280" w:lineRule="exact"/>
              <w:jc w:val="center"/>
              <w:rPr>
                <w:rFonts w:ascii="標楷體" w:eastAsia="標楷體" w:hAnsi="標楷體"/>
                <w:b/>
                <w:sz w:val="24"/>
                <w:szCs w:val="24"/>
              </w:rPr>
            </w:pPr>
            <w:r w:rsidRPr="001E30E7">
              <w:rPr>
                <w:rFonts w:ascii="標楷體" w:eastAsia="標楷體" w:hAnsi="標楷體" w:hint="eastAsia"/>
                <w:b/>
                <w:sz w:val="24"/>
                <w:szCs w:val="24"/>
              </w:rPr>
              <w:t>政策方針</w:t>
            </w:r>
          </w:p>
        </w:tc>
        <w:tc>
          <w:tcPr>
            <w:tcW w:w="835" w:type="dxa"/>
            <w:vAlign w:val="center"/>
          </w:tcPr>
          <w:p w:rsidR="009D164C" w:rsidRPr="001E30E7" w:rsidRDefault="009D164C" w:rsidP="0085094A">
            <w:pPr>
              <w:spacing w:line="280" w:lineRule="exact"/>
              <w:jc w:val="center"/>
              <w:rPr>
                <w:rFonts w:ascii="標楷體" w:eastAsia="標楷體" w:hAnsi="標楷體"/>
                <w:b/>
                <w:sz w:val="24"/>
                <w:szCs w:val="24"/>
              </w:rPr>
            </w:pPr>
            <w:r w:rsidRPr="001E30E7">
              <w:rPr>
                <w:rFonts w:ascii="標楷體" w:eastAsia="標楷體" w:hAnsi="標楷體" w:hint="eastAsia"/>
                <w:b/>
                <w:sz w:val="24"/>
                <w:szCs w:val="24"/>
              </w:rPr>
              <w:t>辦理機關</w:t>
            </w:r>
          </w:p>
        </w:tc>
        <w:tc>
          <w:tcPr>
            <w:tcW w:w="708" w:type="dxa"/>
            <w:vAlign w:val="center"/>
          </w:tcPr>
          <w:p w:rsidR="009D164C" w:rsidRPr="001E30E7" w:rsidRDefault="009D164C" w:rsidP="0085094A">
            <w:pPr>
              <w:spacing w:line="280" w:lineRule="exact"/>
              <w:jc w:val="center"/>
              <w:rPr>
                <w:rFonts w:ascii="標楷體" w:eastAsia="標楷體" w:hAnsi="標楷體"/>
                <w:b/>
                <w:sz w:val="24"/>
                <w:szCs w:val="24"/>
              </w:rPr>
            </w:pPr>
            <w:r w:rsidRPr="001E30E7">
              <w:rPr>
                <w:rFonts w:ascii="標楷體" w:eastAsia="標楷體" w:hAnsi="標楷體" w:hint="eastAsia"/>
                <w:b/>
                <w:sz w:val="24"/>
                <w:szCs w:val="24"/>
              </w:rPr>
              <w:t>期程</w:t>
            </w:r>
          </w:p>
        </w:tc>
        <w:tc>
          <w:tcPr>
            <w:tcW w:w="2410" w:type="dxa"/>
            <w:tcBorders>
              <w:top w:val="single" w:sz="12" w:space="0" w:color="auto"/>
            </w:tcBorders>
            <w:shd w:val="clear" w:color="auto" w:fill="auto"/>
            <w:vAlign w:val="center"/>
          </w:tcPr>
          <w:p w:rsidR="009D164C" w:rsidRPr="009858FE" w:rsidRDefault="009D164C" w:rsidP="0085094A">
            <w:pPr>
              <w:spacing w:line="280" w:lineRule="exact"/>
              <w:jc w:val="center"/>
              <w:rPr>
                <w:rFonts w:ascii="標楷體" w:eastAsia="標楷體" w:hAnsi="標楷體"/>
                <w:b/>
                <w:sz w:val="24"/>
                <w:szCs w:val="24"/>
              </w:rPr>
            </w:pPr>
            <w:r w:rsidRPr="009858FE">
              <w:rPr>
                <w:rFonts w:ascii="標楷體" w:eastAsia="標楷體" w:hAnsi="標楷體" w:hint="eastAsia"/>
                <w:b/>
                <w:sz w:val="24"/>
                <w:szCs w:val="24"/>
              </w:rPr>
              <w:t>105年工作內容</w:t>
            </w:r>
          </w:p>
          <w:p w:rsidR="009D164C" w:rsidRPr="009858FE" w:rsidRDefault="009D164C" w:rsidP="0085094A">
            <w:pPr>
              <w:spacing w:line="280" w:lineRule="exact"/>
              <w:jc w:val="center"/>
              <w:rPr>
                <w:rFonts w:ascii="標楷體" w:eastAsia="標楷體" w:hAnsi="標楷體"/>
                <w:b/>
                <w:sz w:val="24"/>
                <w:szCs w:val="24"/>
              </w:rPr>
            </w:pPr>
            <w:r w:rsidRPr="009858FE">
              <w:rPr>
                <w:rFonts w:ascii="標楷體" w:eastAsia="標楷體" w:hAnsi="標楷體" w:hint="eastAsia"/>
                <w:b/>
                <w:sz w:val="24"/>
                <w:szCs w:val="24"/>
              </w:rPr>
              <w:t>(含預算，單位：元)</w:t>
            </w:r>
          </w:p>
        </w:tc>
        <w:tc>
          <w:tcPr>
            <w:tcW w:w="2552" w:type="dxa"/>
            <w:tcBorders>
              <w:top w:val="single" w:sz="12" w:space="0" w:color="auto"/>
              <w:right w:val="single" w:sz="12" w:space="0" w:color="auto"/>
            </w:tcBorders>
            <w:shd w:val="clear" w:color="auto" w:fill="auto"/>
          </w:tcPr>
          <w:p w:rsidR="009D164C" w:rsidRPr="009858FE" w:rsidRDefault="009D164C" w:rsidP="0085094A">
            <w:pPr>
              <w:spacing w:line="280" w:lineRule="exact"/>
              <w:jc w:val="center"/>
              <w:rPr>
                <w:rFonts w:ascii="標楷體" w:eastAsia="標楷體" w:hAnsi="標楷體"/>
                <w:b/>
                <w:sz w:val="24"/>
                <w:szCs w:val="24"/>
              </w:rPr>
            </w:pPr>
            <w:r w:rsidRPr="009858FE">
              <w:rPr>
                <w:rFonts w:ascii="標楷體" w:eastAsia="標楷體" w:hAnsi="標楷體" w:hint="eastAsia"/>
                <w:b/>
                <w:sz w:val="24"/>
                <w:szCs w:val="24"/>
              </w:rPr>
              <w:t>105年1-</w:t>
            </w:r>
            <w:r w:rsidR="00BF1FA1">
              <w:rPr>
                <w:rFonts w:ascii="標楷體" w:eastAsia="標楷體" w:hAnsi="標楷體"/>
                <w:b/>
                <w:sz w:val="24"/>
                <w:szCs w:val="24"/>
              </w:rPr>
              <w:t>12</w:t>
            </w:r>
            <w:r w:rsidRPr="009858FE">
              <w:rPr>
                <w:rFonts w:ascii="標楷體" w:eastAsia="標楷體" w:hAnsi="標楷體" w:hint="eastAsia"/>
                <w:b/>
                <w:sz w:val="24"/>
                <w:szCs w:val="24"/>
              </w:rPr>
              <w:t>月辦理成果</w:t>
            </w:r>
          </w:p>
          <w:p w:rsidR="009D164C" w:rsidRPr="009858FE" w:rsidRDefault="009D164C" w:rsidP="0085094A">
            <w:pPr>
              <w:spacing w:line="280" w:lineRule="exact"/>
              <w:jc w:val="center"/>
              <w:rPr>
                <w:rFonts w:ascii="標楷體" w:eastAsia="標楷體" w:hAnsi="標楷體"/>
                <w:b/>
                <w:sz w:val="24"/>
                <w:szCs w:val="24"/>
              </w:rPr>
            </w:pPr>
            <w:r w:rsidRPr="009858FE">
              <w:rPr>
                <w:rFonts w:ascii="標楷體" w:eastAsia="標楷體" w:hAnsi="標楷體" w:hint="eastAsia"/>
                <w:b/>
                <w:sz w:val="24"/>
                <w:szCs w:val="24"/>
              </w:rPr>
              <w:t>(含預算執行數及率%)</w:t>
            </w:r>
          </w:p>
        </w:tc>
        <w:tc>
          <w:tcPr>
            <w:tcW w:w="2126" w:type="dxa"/>
            <w:tcBorders>
              <w:top w:val="single" w:sz="12" w:space="0" w:color="auto"/>
              <w:right w:val="single" w:sz="12" w:space="0" w:color="auto"/>
            </w:tcBorders>
          </w:tcPr>
          <w:p w:rsidR="009D164C" w:rsidRPr="009858FE" w:rsidRDefault="009D164C" w:rsidP="0085094A">
            <w:pPr>
              <w:spacing w:line="280" w:lineRule="exact"/>
              <w:jc w:val="center"/>
              <w:rPr>
                <w:rFonts w:ascii="標楷體" w:eastAsia="標楷體" w:hAnsi="標楷體"/>
                <w:b/>
                <w:sz w:val="24"/>
                <w:szCs w:val="24"/>
              </w:rPr>
            </w:pPr>
            <w:r w:rsidRPr="009858FE">
              <w:rPr>
                <w:rFonts w:ascii="標楷體" w:eastAsia="標楷體" w:hAnsi="標楷體" w:hint="eastAsia"/>
                <w:b/>
                <w:sz w:val="24"/>
                <w:szCs w:val="24"/>
              </w:rPr>
              <w:t>106年工作內容</w:t>
            </w:r>
          </w:p>
          <w:p w:rsidR="009D164C" w:rsidRPr="009858FE" w:rsidRDefault="009D164C" w:rsidP="0085094A">
            <w:pPr>
              <w:spacing w:line="280" w:lineRule="exact"/>
              <w:jc w:val="center"/>
              <w:rPr>
                <w:rFonts w:ascii="標楷體" w:eastAsia="標楷體" w:hAnsi="標楷體"/>
                <w:b/>
                <w:sz w:val="24"/>
                <w:szCs w:val="24"/>
              </w:rPr>
            </w:pPr>
            <w:r w:rsidRPr="009858FE">
              <w:rPr>
                <w:rFonts w:ascii="標楷體" w:eastAsia="標楷體" w:hAnsi="標楷體" w:hint="eastAsia"/>
                <w:b/>
                <w:sz w:val="24"/>
                <w:szCs w:val="24"/>
              </w:rPr>
              <w:t>(含預算，單位：元)</w:t>
            </w:r>
          </w:p>
        </w:tc>
      </w:tr>
      <w:tr w:rsidR="00AC2375" w:rsidRPr="001E30E7" w:rsidTr="003F5A17">
        <w:trPr>
          <w:trHeight w:val="1452"/>
          <w:jc w:val="center"/>
        </w:trPr>
        <w:tc>
          <w:tcPr>
            <w:tcW w:w="2411" w:type="dxa"/>
            <w:vAlign w:val="center"/>
          </w:tcPr>
          <w:p w:rsidR="00AC2375" w:rsidRPr="001E30E7" w:rsidRDefault="00AC2375" w:rsidP="00AC2375">
            <w:pPr>
              <w:pStyle w:val="Web"/>
              <w:snapToGrid w:val="0"/>
              <w:spacing w:before="0" w:beforeAutospacing="0" w:after="0" w:line="280" w:lineRule="exact"/>
              <w:ind w:left="240" w:hangingChars="100" w:hanging="240"/>
              <w:jc w:val="both"/>
              <w:rPr>
                <w:rFonts w:ascii="標楷體" w:eastAsia="標楷體" w:hAnsi="標楷體"/>
                <w:sz w:val="24"/>
              </w:rPr>
            </w:pPr>
            <w:r w:rsidRPr="001E30E7">
              <w:rPr>
                <w:rFonts w:ascii="標楷體" w:eastAsia="標楷體" w:hAnsi="標楷體" w:hint="eastAsia"/>
                <w:sz w:val="24"/>
              </w:rPr>
              <w:t>6.</w:t>
            </w:r>
            <w:r w:rsidRPr="001E30E7">
              <w:rPr>
                <w:rFonts w:ascii="標楷體" w:eastAsia="標楷體" w:hAnsi="標楷體"/>
                <w:sz w:val="24"/>
              </w:rPr>
              <w:t>強化具性別敏感度之領導力訓練課程</w:t>
            </w:r>
            <w:r w:rsidRPr="001E30E7">
              <w:rPr>
                <w:rFonts w:ascii="標楷體" w:eastAsia="標楷體" w:hAnsi="標楷體" w:hint="eastAsia"/>
                <w:sz w:val="24"/>
              </w:rPr>
              <w:t>。</w:t>
            </w:r>
          </w:p>
          <w:p w:rsidR="00AC2375" w:rsidRPr="001E30E7" w:rsidRDefault="00AC2375" w:rsidP="00AC2375">
            <w:pPr>
              <w:pStyle w:val="Web"/>
              <w:snapToGrid w:val="0"/>
              <w:spacing w:before="0" w:beforeAutospacing="0" w:after="0" w:line="280" w:lineRule="exact"/>
              <w:jc w:val="both"/>
              <w:rPr>
                <w:rFonts w:ascii="標楷體" w:eastAsia="標楷體" w:hAnsi="標楷體"/>
                <w:sz w:val="24"/>
              </w:rPr>
            </w:pPr>
            <w:r w:rsidRPr="001E30E7">
              <w:rPr>
                <w:rFonts w:ascii="標楷體" w:eastAsia="標楷體" w:hAnsi="標楷體" w:hint="eastAsia"/>
                <w:sz w:val="24"/>
                <w:u w:val="single"/>
              </w:rPr>
              <w:t>方針重點</w:t>
            </w:r>
            <w:r w:rsidRPr="001E30E7">
              <w:rPr>
                <w:rFonts w:ascii="標楷體" w:eastAsia="標楷體" w:hAnsi="標楷體" w:hint="eastAsia"/>
                <w:sz w:val="24"/>
              </w:rPr>
              <w:t>：</w:t>
            </w:r>
            <w:r w:rsidRPr="001E30E7">
              <w:rPr>
                <w:rFonts w:ascii="標楷體" w:eastAsia="標楷體" w:hAnsi="標楷體"/>
                <w:sz w:val="24"/>
              </w:rPr>
              <w:t>如縣市政府相關單位應定期與所屬國小、國中及高中合辦具性別敏感度的領袖培力營，並擴大青年女性參與公共事</w:t>
            </w:r>
            <w:r w:rsidRPr="001E30E7">
              <w:rPr>
                <w:rFonts w:ascii="標楷體" w:eastAsia="標楷體" w:hAnsi="標楷體" w:hint="eastAsia"/>
                <w:sz w:val="24"/>
              </w:rPr>
              <w:t>務</w:t>
            </w:r>
            <w:r w:rsidRPr="001E30E7">
              <w:rPr>
                <w:rFonts w:ascii="標楷體" w:eastAsia="標楷體" w:hAnsi="標楷體"/>
                <w:sz w:val="24"/>
              </w:rPr>
              <w:t>的機會。</w:t>
            </w:r>
          </w:p>
        </w:tc>
        <w:tc>
          <w:tcPr>
            <w:tcW w:w="835" w:type="dxa"/>
          </w:tcPr>
          <w:p w:rsidR="00AC2375" w:rsidRPr="001E30E7" w:rsidRDefault="00AC2375" w:rsidP="00AC2375">
            <w:pPr>
              <w:spacing w:line="280" w:lineRule="exact"/>
              <w:rPr>
                <w:rFonts w:ascii="標楷體" w:eastAsia="標楷體" w:hAnsi="標楷體"/>
                <w:sz w:val="24"/>
                <w:szCs w:val="24"/>
              </w:rPr>
            </w:pPr>
            <w:r w:rsidRPr="001E30E7">
              <w:rPr>
                <w:rFonts w:ascii="標楷體" w:eastAsia="標楷體" w:hAnsi="標楷體" w:hint="eastAsia"/>
                <w:sz w:val="24"/>
                <w:szCs w:val="24"/>
              </w:rPr>
              <w:t>青年事務局</w:t>
            </w:r>
          </w:p>
        </w:tc>
        <w:tc>
          <w:tcPr>
            <w:tcW w:w="708" w:type="dxa"/>
          </w:tcPr>
          <w:p w:rsidR="00AC2375" w:rsidRPr="001E30E7" w:rsidRDefault="00AC2375" w:rsidP="00AC2375">
            <w:pPr>
              <w:spacing w:line="280" w:lineRule="exact"/>
              <w:rPr>
                <w:rFonts w:ascii="標楷體" w:eastAsia="標楷體" w:hAnsi="標楷體"/>
                <w:sz w:val="24"/>
                <w:szCs w:val="24"/>
              </w:rPr>
            </w:pPr>
            <w:r w:rsidRPr="001E30E7">
              <w:rPr>
                <w:rFonts w:ascii="標楷體" w:eastAsia="標楷體" w:hAnsi="標楷體" w:hint="eastAsia"/>
                <w:sz w:val="24"/>
                <w:szCs w:val="24"/>
              </w:rPr>
              <w:t>短程計畫</w:t>
            </w:r>
          </w:p>
          <w:p w:rsidR="00AC2375" w:rsidRPr="001E30E7" w:rsidRDefault="00AC2375" w:rsidP="00AC2375">
            <w:pPr>
              <w:spacing w:line="280" w:lineRule="exact"/>
              <w:rPr>
                <w:rFonts w:ascii="標楷體" w:eastAsia="標楷體" w:hAnsi="標楷體"/>
                <w:sz w:val="24"/>
                <w:szCs w:val="24"/>
              </w:rPr>
            </w:pPr>
            <w:r w:rsidRPr="001E30E7">
              <w:rPr>
                <w:rFonts w:ascii="標楷體" w:eastAsia="標楷體" w:hAnsi="標楷體" w:hint="eastAsia"/>
                <w:sz w:val="24"/>
                <w:szCs w:val="24"/>
              </w:rPr>
              <w:t>(1-2年)</w:t>
            </w:r>
          </w:p>
        </w:tc>
        <w:tc>
          <w:tcPr>
            <w:tcW w:w="2410" w:type="dxa"/>
            <w:shd w:val="clear" w:color="auto" w:fill="auto"/>
          </w:tcPr>
          <w:p w:rsidR="00AC2375" w:rsidRPr="00241CAC" w:rsidRDefault="00AC2375" w:rsidP="00AC2375">
            <w:pPr>
              <w:spacing w:line="280" w:lineRule="exact"/>
              <w:jc w:val="both"/>
              <w:rPr>
                <w:rFonts w:ascii="標楷體" w:eastAsia="標楷體" w:hAnsi="標楷體"/>
                <w:sz w:val="24"/>
                <w:szCs w:val="24"/>
              </w:rPr>
            </w:pPr>
            <w:r w:rsidRPr="00241CAC">
              <w:rPr>
                <w:rFonts w:ascii="標楷體" w:eastAsia="標楷體" w:hAnsi="標楷體" w:hint="eastAsia"/>
                <w:sz w:val="24"/>
                <w:szCs w:val="24"/>
              </w:rPr>
              <w:t>(預算：預算數</w:t>
            </w:r>
            <w:r>
              <w:rPr>
                <w:rFonts w:ascii="標楷體" w:eastAsia="標楷體" w:hAnsi="標楷體" w:hint="eastAsia"/>
                <w:sz w:val="24"/>
                <w:szCs w:val="24"/>
              </w:rPr>
              <w:t>71</w:t>
            </w:r>
            <w:r w:rsidRPr="00241CAC">
              <w:rPr>
                <w:rFonts w:ascii="標楷體" w:eastAsia="標楷體" w:hAnsi="標楷體" w:hint="eastAsia"/>
                <w:sz w:val="24"/>
                <w:szCs w:val="24"/>
              </w:rPr>
              <w:t>0,000元；決算數：</w:t>
            </w:r>
            <w:r w:rsidRPr="002957D3">
              <w:rPr>
                <w:rFonts w:ascii="標楷體" w:eastAsia="標楷體" w:hAnsi="標楷體" w:hint="eastAsia"/>
                <w:sz w:val="24"/>
                <w:szCs w:val="24"/>
              </w:rPr>
              <w:t>710,000元</w:t>
            </w:r>
            <w:r w:rsidRPr="00241CAC">
              <w:rPr>
                <w:rFonts w:ascii="標楷體" w:eastAsia="標楷體" w:hAnsi="標楷體" w:hint="eastAsia"/>
                <w:sz w:val="24"/>
                <w:szCs w:val="24"/>
              </w:rPr>
              <w:t>)</w:t>
            </w:r>
          </w:p>
          <w:p w:rsidR="00AC2375" w:rsidRPr="00241CAC" w:rsidRDefault="00AC2375" w:rsidP="00AC2375">
            <w:pPr>
              <w:numPr>
                <w:ilvl w:val="0"/>
                <w:numId w:val="2"/>
              </w:numPr>
              <w:spacing w:line="280" w:lineRule="exact"/>
              <w:ind w:left="175" w:hanging="141"/>
              <w:jc w:val="both"/>
              <w:rPr>
                <w:rFonts w:ascii="標楷體" w:eastAsia="標楷體" w:hAnsi="標楷體"/>
                <w:sz w:val="24"/>
                <w:szCs w:val="24"/>
              </w:rPr>
            </w:pPr>
            <w:r w:rsidRPr="00241CAC">
              <w:rPr>
                <w:rFonts w:ascii="標楷體" w:eastAsia="標楷體" w:hAnsi="標楷體" w:hint="eastAsia"/>
                <w:sz w:val="24"/>
                <w:szCs w:val="24"/>
              </w:rPr>
              <w:t>預算180萬元辦理青年公共事務及政策論壇培訓課程，提供女性青年參與公共事務討論之機會，充分展現女性觀點，進而提出相關建議，落實性別平等之目標。</w:t>
            </w:r>
          </w:p>
          <w:p w:rsidR="00AC2375" w:rsidRPr="00241CAC" w:rsidRDefault="00AC2375" w:rsidP="00AC2375">
            <w:pPr>
              <w:numPr>
                <w:ilvl w:val="0"/>
                <w:numId w:val="2"/>
              </w:numPr>
              <w:spacing w:line="280" w:lineRule="exact"/>
              <w:ind w:left="175" w:hanging="141"/>
              <w:jc w:val="both"/>
              <w:rPr>
                <w:rFonts w:ascii="標楷體" w:eastAsia="標楷體" w:hAnsi="標楷體"/>
                <w:sz w:val="24"/>
                <w:szCs w:val="24"/>
              </w:rPr>
            </w:pPr>
            <w:r w:rsidRPr="00241CAC">
              <w:rPr>
                <w:rFonts w:ascii="標楷體" w:eastAsia="標楷體" w:hAnsi="標楷體" w:hint="eastAsia"/>
                <w:sz w:val="24"/>
                <w:szCs w:val="24"/>
              </w:rPr>
              <w:t>預算50萬元辦理青年政策諮詢計畫，設置｢桃園市青年諮詢委員會｣，培養在地女性青年領袖人才，促進社會發展，提升本府政策之創新性及可行性。</w:t>
            </w:r>
          </w:p>
          <w:p w:rsidR="00AC2375" w:rsidRPr="00241CAC" w:rsidRDefault="00AC2375" w:rsidP="00AC2375">
            <w:pPr>
              <w:numPr>
                <w:ilvl w:val="0"/>
                <w:numId w:val="2"/>
              </w:numPr>
              <w:spacing w:line="280" w:lineRule="exact"/>
              <w:ind w:left="175" w:hanging="141"/>
              <w:jc w:val="both"/>
              <w:rPr>
                <w:rFonts w:ascii="標楷體" w:eastAsia="標楷體" w:hAnsi="標楷體"/>
                <w:sz w:val="24"/>
                <w:szCs w:val="24"/>
              </w:rPr>
            </w:pPr>
            <w:r w:rsidRPr="00241CAC">
              <w:rPr>
                <w:rFonts w:ascii="標楷體" w:eastAsia="標楷體" w:hAnsi="標楷體" w:hint="eastAsia"/>
                <w:sz w:val="24"/>
                <w:szCs w:val="24"/>
              </w:rPr>
              <w:t>桃園市青年諮詢委員會設置要點於中華民國 105 年 1 月 5 日府青公字第 1040315930 號函訂定完成，其中明定本會委員任一性別比例不得少於三分之一。</w:t>
            </w:r>
          </w:p>
          <w:p w:rsidR="00AC2375" w:rsidRPr="00241CAC" w:rsidRDefault="00AC2375" w:rsidP="00AC2375">
            <w:pPr>
              <w:numPr>
                <w:ilvl w:val="0"/>
                <w:numId w:val="2"/>
              </w:numPr>
              <w:tabs>
                <w:tab w:val="num" w:pos="361"/>
              </w:tabs>
              <w:spacing w:line="280" w:lineRule="exact"/>
              <w:ind w:leftChars="15" w:left="173" w:hangingChars="57" w:hanging="137"/>
              <w:jc w:val="both"/>
              <w:rPr>
                <w:rFonts w:ascii="標楷體" w:eastAsia="標楷體" w:hAnsi="標楷體"/>
                <w:sz w:val="24"/>
                <w:szCs w:val="24"/>
              </w:rPr>
            </w:pPr>
            <w:r w:rsidRPr="00241CAC">
              <w:rPr>
                <w:rFonts w:ascii="標楷體" w:eastAsia="標楷體" w:hAnsi="標楷體" w:hint="eastAsia"/>
                <w:sz w:val="24"/>
                <w:szCs w:val="24"/>
              </w:rPr>
              <w:t>「桃園市青年諮詢委員會成立大會暨第1屆第1次會議」於105年3月29日召開，最後確定青年 諮詢委員為29名，男性19名(65.52%)，女性10名(34.48%)，符合本要點第3條規定本會委員任一性別不得少於三分之</w:t>
            </w:r>
            <w:r w:rsidRPr="00241CAC">
              <w:rPr>
                <w:rFonts w:ascii="標楷體" w:eastAsia="標楷體" w:hAnsi="標楷體" w:hint="eastAsia"/>
                <w:sz w:val="24"/>
                <w:szCs w:val="24"/>
              </w:rPr>
              <w:lastRenderedPageBreak/>
              <w:t>一。青年諮詢委員之年齡為17歲至38歲之在學學生或社會青年，平均年齡為26歲。每3個月召開一次會議，必要時得召開臨時會議，顯見本府重視青年的權益及意見，積極培養不同性別之政策參與人才。</w:t>
            </w:r>
          </w:p>
        </w:tc>
        <w:tc>
          <w:tcPr>
            <w:tcW w:w="2552" w:type="dxa"/>
            <w:shd w:val="clear" w:color="auto" w:fill="auto"/>
          </w:tcPr>
          <w:p w:rsidR="00AC2375" w:rsidRPr="00A54272" w:rsidRDefault="00AC2375" w:rsidP="00AC2375">
            <w:pPr>
              <w:spacing w:line="280" w:lineRule="exact"/>
              <w:rPr>
                <w:rFonts w:ascii="標楷體" w:eastAsia="標楷體" w:hAnsi="標楷體"/>
                <w:color w:val="FF0000"/>
                <w:sz w:val="24"/>
                <w:szCs w:val="24"/>
              </w:rPr>
            </w:pPr>
            <w:r w:rsidRPr="00A54272">
              <w:rPr>
                <w:rFonts w:ascii="標楷體" w:eastAsia="標楷體" w:hAnsi="標楷體" w:hint="eastAsia"/>
                <w:color w:val="FF0000"/>
                <w:sz w:val="24"/>
                <w:szCs w:val="24"/>
              </w:rPr>
              <w:lastRenderedPageBreak/>
              <w:t>(預算執行數及率：710,000元，100%)</w:t>
            </w:r>
          </w:p>
          <w:p w:rsidR="00AC2375" w:rsidRPr="00A54272" w:rsidRDefault="00AC2375" w:rsidP="00AC2375">
            <w:pPr>
              <w:pStyle w:val="a3"/>
              <w:numPr>
                <w:ilvl w:val="0"/>
                <w:numId w:val="7"/>
              </w:numPr>
              <w:spacing w:line="280" w:lineRule="exact"/>
              <w:ind w:leftChars="0"/>
              <w:rPr>
                <w:rFonts w:ascii="標楷體" w:eastAsia="標楷體" w:hAnsi="標楷體"/>
                <w:color w:val="FF0000"/>
                <w:sz w:val="24"/>
                <w:szCs w:val="24"/>
                <w:lang w:eastAsia="zh-TW"/>
              </w:rPr>
            </w:pPr>
            <w:r w:rsidRPr="00A54272">
              <w:rPr>
                <w:rFonts w:ascii="標楷體" w:eastAsia="標楷體" w:hAnsi="標楷體" w:hint="eastAsia"/>
                <w:color w:val="FF0000"/>
                <w:sz w:val="24"/>
                <w:szCs w:val="24"/>
                <w:lang w:eastAsia="zh-TW"/>
              </w:rPr>
              <w:t>105年公共事務培力計畫在課程內容包含性別相關議題、教育培訓，並發送性別相關宣導品。</w:t>
            </w:r>
          </w:p>
          <w:p w:rsidR="00AC2375" w:rsidRPr="00A54272" w:rsidRDefault="00AC2375" w:rsidP="00AC2375">
            <w:pPr>
              <w:pStyle w:val="a3"/>
              <w:numPr>
                <w:ilvl w:val="0"/>
                <w:numId w:val="7"/>
              </w:numPr>
              <w:spacing w:line="280" w:lineRule="exact"/>
              <w:ind w:leftChars="0"/>
              <w:rPr>
                <w:rFonts w:ascii="標楷體" w:eastAsia="標楷體" w:hAnsi="標楷體"/>
                <w:color w:val="FF0000"/>
                <w:sz w:val="24"/>
                <w:szCs w:val="24"/>
                <w:lang w:eastAsia="zh-TW"/>
              </w:rPr>
            </w:pPr>
            <w:r w:rsidRPr="00A54272">
              <w:rPr>
                <w:rFonts w:ascii="標楷體" w:eastAsia="標楷體" w:hAnsi="標楷體" w:hint="eastAsia"/>
                <w:color w:val="FF0000"/>
                <w:sz w:val="24"/>
                <w:szCs w:val="24"/>
                <w:lang w:eastAsia="zh-TW"/>
              </w:rPr>
              <w:t>公共事務培力計畫已於8、9月於13區辦理13場培力課程，活動已順利辦理完畢，13場活動中有6場由女性講師講述。</w:t>
            </w:r>
          </w:p>
          <w:p w:rsidR="00AC2375" w:rsidRPr="00A54272" w:rsidRDefault="00AC2375" w:rsidP="00AC2375">
            <w:pPr>
              <w:pStyle w:val="a3"/>
              <w:numPr>
                <w:ilvl w:val="0"/>
                <w:numId w:val="7"/>
              </w:numPr>
              <w:spacing w:line="280" w:lineRule="exact"/>
              <w:ind w:leftChars="0"/>
              <w:rPr>
                <w:rFonts w:ascii="標楷體" w:eastAsia="標楷體" w:hAnsi="標楷體"/>
                <w:color w:val="FF0000"/>
                <w:sz w:val="24"/>
                <w:szCs w:val="24"/>
                <w:lang w:eastAsia="zh-TW"/>
              </w:rPr>
            </w:pPr>
            <w:r w:rsidRPr="00A54272">
              <w:rPr>
                <w:rFonts w:ascii="標楷體" w:eastAsia="標楷體" w:hAnsi="標楷體" w:hint="eastAsia"/>
                <w:color w:val="FF0000"/>
                <w:sz w:val="24"/>
                <w:szCs w:val="24"/>
                <w:lang w:eastAsia="zh-TW"/>
              </w:rPr>
              <w:t>每場35位學員共計455人參加，宣導性別平等，學員女性比例為 205人(45％)，男性250人(55％)。</w:t>
            </w:r>
          </w:p>
          <w:p w:rsidR="00AC2375" w:rsidRPr="00A54272" w:rsidRDefault="00AC2375" w:rsidP="00AC2375">
            <w:pPr>
              <w:pStyle w:val="a3"/>
              <w:numPr>
                <w:ilvl w:val="0"/>
                <w:numId w:val="7"/>
              </w:numPr>
              <w:spacing w:line="280" w:lineRule="exact"/>
              <w:ind w:leftChars="0"/>
              <w:rPr>
                <w:rFonts w:ascii="標楷體" w:eastAsia="標楷體" w:hAnsi="標楷體"/>
                <w:color w:val="FF0000"/>
                <w:sz w:val="24"/>
                <w:szCs w:val="24"/>
                <w:lang w:eastAsia="zh-TW"/>
              </w:rPr>
            </w:pPr>
            <w:r w:rsidRPr="00A54272">
              <w:rPr>
                <w:rFonts w:ascii="標楷體" w:eastAsia="標楷體" w:hAnsi="標楷體" w:hint="eastAsia"/>
                <w:color w:val="FF0000"/>
                <w:sz w:val="24"/>
                <w:szCs w:val="24"/>
                <w:lang w:eastAsia="zh-TW"/>
              </w:rPr>
              <w:t>桃園市青年諮詢委員會設置要點業於105年1月5日府青公字第1040315930 號函公告，遴選諮詢委員時將兼顧年齡、性別(任一性別不得少於三分之一)。</w:t>
            </w:r>
          </w:p>
          <w:p w:rsidR="00AC2375" w:rsidRPr="00A54272" w:rsidRDefault="00AC2375" w:rsidP="00AC2375">
            <w:pPr>
              <w:pStyle w:val="a3"/>
              <w:numPr>
                <w:ilvl w:val="0"/>
                <w:numId w:val="7"/>
              </w:numPr>
              <w:spacing w:line="280" w:lineRule="exact"/>
              <w:ind w:leftChars="0"/>
              <w:rPr>
                <w:rFonts w:ascii="標楷體" w:eastAsia="標楷體" w:hAnsi="標楷體"/>
                <w:color w:val="FF0000"/>
                <w:sz w:val="24"/>
                <w:szCs w:val="24"/>
              </w:rPr>
            </w:pPr>
            <w:r w:rsidRPr="00A54272">
              <w:rPr>
                <w:rFonts w:ascii="標楷體" w:eastAsia="標楷體" w:hAnsi="標楷體" w:hint="eastAsia"/>
                <w:color w:val="FF0000"/>
                <w:sz w:val="24"/>
                <w:szCs w:val="24"/>
              </w:rPr>
              <w:t>桃園市青年諮詢委員成立大會，由市長鄭文燦為召集人，青年事務局局長陳家濬為副召集人，男性委員計有21名(占67％)女性委員計有10名(占33％) 。</w:t>
            </w:r>
          </w:p>
          <w:p w:rsidR="00AC2375" w:rsidRPr="00A54272" w:rsidRDefault="00AC2375" w:rsidP="00AC2375">
            <w:pPr>
              <w:pStyle w:val="a3"/>
              <w:numPr>
                <w:ilvl w:val="0"/>
                <w:numId w:val="7"/>
              </w:numPr>
              <w:spacing w:line="280" w:lineRule="exact"/>
              <w:ind w:leftChars="0"/>
              <w:rPr>
                <w:rFonts w:ascii="標楷體" w:eastAsia="標楷體" w:hAnsi="標楷體"/>
                <w:color w:val="FF0000"/>
                <w:sz w:val="24"/>
                <w:szCs w:val="24"/>
              </w:rPr>
            </w:pPr>
            <w:r w:rsidRPr="00A54272">
              <w:rPr>
                <w:rFonts w:ascii="標楷體" w:eastAsia="標楷體" w:hAnsi="標楷體" w:hint="eastAsia"/>
                <w:color w:val="FF0000"/>
                <w:sz w:val="24"/>
                <w:szCs w:val="24"/>
                <w:lang w:eastAsia="zh-TW"/>
              </w:rPr>
              <w:t>該委員會設置多</w:t>
            </w:r>
            <w:r w:rsidRPr="00A54272">
              <w:rPr>
                <w:rFonts w:ascii="標楷體" w:eastAsia="標楷體" w:hAnsi="標楷體" w:hint="eastAsia"/>
                <w:color w:val="FF0000"/>
                <w:sz w:val="24"/>
                <w:szCs w:val="24"/>
                <w:lang w:eastAsia="zh-TW"/>
              </w:rPr>
              <w:lastRenderedPageBreak/>
              <w:t>元族群組，提案內容涉及桃園多元族群議題，並重視不同性別群體的相關權利，未來將建議青年諮詢委員提相關議案做為本府施政參考。</w:t>
            </w:r>
          </w:p>
          <w:p w:rsidR="00AC2375" w:rsidRPr="00A54272" w:rsidRDefault="00AC2375" w:rsidP="00AC2375">
            <w:pPr>
              <w:pStyle w:val="a3"/>
              <w:spacing w:line="280" w:lineRule="exact"/>
              <w:ind w:leftChars="0"/>
              <w:rPr>
                <w:rFonts w:ascii="標楷體" w:eastAsia="標楷體" w:hAnsi="標楷體"/>
                <w:color w:val="FF0000"/>
                <w:sz w:val="24"/>
                <w:szCs w:val="24"/>
              </w:rPr>
            </w:pPr>
            <w:bookmarkStart w:id="0" w:name="_GoBack"/>
            <w:bookmarkEnd w:id="0"/>
          </w:p>
        </w:tc>
        <w:tc>
          <w:tcPr>
            <w:tcW w:w="2126" w:type="dxa"/>
            <w:shd w:val="clear" w:color="auto" w:fill="auto"/>
          </w:tcPr>
          <w:p w:rsidR="00AC2375" w:rsidRPr="00A54272" w:rsidRDefault="00AC2375" w:rsidP="00AC2375">
            <w:pPr>
              <w:spacing w:line="280" w:lineRule="exact"/>
              <w:jc w:val="both"/>
              <w:rPr>
                <w:rFonts w:ascii="標楷體" w:eastAsia="標楷體" w:hAnsi="標楷體"/>
                <w:color w:val="FF0000"/>
                <w:sz w:val="24"/>
                <w:szCs w:val="24"/>
              </w:rPr>
            </w:pPr>
            <w:r w:rsidRPr="00A54272">
              <w:rPr>
                <w:rFonts w:ascii="標楷體" w:eastAsia="標楷體" w:hAnsi="標楷體" w:hint="eastAsia"/>
                <w:color w:val="FF0000"/>
                <w:sz w:val="24"/>
                <w:szCs w:val="24"/>
              </w:rPr>
              <w:lastRenderedPageBreak/>
              <w:t>(預算：預算數120</w:t>
            </w:r>
            <w:r w:rsidRPr="00A54272">
              <w:rPr>
                <w:rFonts w:ascii="標楷體" w:eastAsia="標楷體" w:hAnsi="標楷體"/>
                <w:color w:val="FF0000"/>
                <w:sz w:val="24"/>
                <w:szCs w:val="24"/>
              </w:rPr>
              <w:t>,</w:t>
            </w:r>
            <w:r w:rsidRPr="00A54272">
              <w:rPr>
                <w:rFonts w:ascii="標楷體" w:eastAsia="標楷體" w:hAnsi="標楷體" w:hint="eastAsia"/>
                <w:color w:val="FF0000"/>
                <w:sz w:val="24"/>
                <w:szCs w:val="24"/>
              </w:rPr>
              <w:t>000元；決算數：尚未決算)</w:t>
            </w:r>
          </w:p>
          <w:p w:rsidR="00AC2375" w:rsidRPr="00A54272" w:rsidRDefault="00AC2375" w:rsidP="00AC2375">
            <w:pPr>
              <w:pStyle w:val="a3"/>
              <w:numPr>
                <w:ilvl w:val="0"/>
                <w:numId w:val="8"/>
              </w:numPr>
              <w:spacing w:line="280" w:lineRule="exact"/>
              <w:ind w:leftChars="0"/>
              <w:rPr>
                <w:rFonts w:ascii="標楷體" w:eastAsia="標楷體" w:hAnsi="標楷體"/>
                <w:color w:val="FF0000"/>
                <w:sz w:val="24"/>
                <w:szCs w:val="24"/>
                <w:lang w:eastAsia="zh-TW"/>
              </w:rPr>
            </w:pPr>
            <w:r w:rsidRPr="00A54272">
              <w:rPr>
                <w:rFonts w:ascii="標楷體" w:eastAsia="標楷體" w:hAnsi="標楷體" w:hint="eastAsia"/>
                <w:color w:val="FF0000"/>
                <w:sz w:val="24"/>
                <w:szCs w:val="24"/>
                <w:lang w:val="en-US" w:eastAsia="zh-TW"/>
              </w:rPr>
              <w:t>為</w:t>
            </w:r>
            <w:r w:rsidRPr="00A54272">
              <w:rPr>
                <w:rFonts w:ascii="標楷體" w:eastAsia="標楷體" w:hAnsi="標楷體" w:hint="eastAsia"/>
                <w:color w:val="FF0000"/>
                <w:sz w:val="24"/>
                <w:szCs w:val="24"/>
              </w:rPr>
              <w:t>強化本市青年之性別意識，提升女性在組織內之領導地位，不因性別而產生差別待遇，達到實質平</w:t>
            </w:r>
            <w:r w:rsidRPr="00A54272">
              <w:rPr>
                <w:rFonts w:ascii="標楷體" w:eastAsia="標楷體" w:hAnsi="標楷體" w:hint="eastAsia"/>
                <w:color w:val="FF0000"/>
                <w:sz w:val="24"/>
                <w:szCs w:val="24"/>
                <w:lang w:eastAsia="zh-TW"/>
              </w:rPr>
              <w:t>等之目標，本局於106年規劃｢桃園市政府青年事務局與大專院校、青年團體共同推動106年女性青年領導力培力計畫</w:t>
            </w:r>
            <w:r w:rsidRPr="00A54272">
              <w:rPr>
                <w:rFonts w:ascii="新細明體" w:hAnsi="新細明體" w:hint="eastAsia"/>
                <w:color w:val="FF0000"/>
                <w:szCs w:val="24"/>
                <w:lang w:eastAsia="zh-TW"/>
              </w:rPr>
              <w:t>｣。</w:t>
            </w:r>
          </w:p>
          <w:p w:rsidR="00AC2375" w:rsidRPr="00A54272" w:rsidRDefault="00AC2375" w:rsidP="00AC2375">
            <w:pPr>
              <w:pStyle w:val="a3"/>
              <w:numPr>
                <w:ilvl w:val="0"/>
                <w:numId w:val="8"/>
              </w:numPr>
              <w:spacing w:line="280" w:lineRule="exact"/>
              <w:ind w:leftChars="0"/>
              <w:rPr>
                <w:rFonts w:ascii="標楷體" w:eastAsia="標楷體" w:hAnsi="標楷體"/>
                <w:color w:val="FF0000"/>
                <w:sz w:val="24"/>
                <w:szCs w:val="24"/>
              </w:rPr>
            </w:pPr>
            <w:r w:rsidRPr="00A54272">
              <w:rPr>
                <w:rFonts w:ascii="標楷體" w:eastAsia="標楷體" w:hAnsi="標楷體" w:hint="eastAsia"/>
                <w:color w:val="FF0000"/>
                <w:sz w:val="24"/>
                <w:szCs w:val="24"/>
              </w:rPr>
              <w:t>執行方式：</w:t>
            </w:r>
          </w:p>
          <w:p w:rsidR="00AC2375" w:rsidRPr="00A54272" w:rsidRDefault="00AC2375" w:rsidP="00AC2375">
            <w:pPr>
              <w:numPr>
                <w:ilvl w:val="0"/>
                <w:numId w:val="9"/>
              </w:numPr>
              <w:spacing w:line="280" w:lineRule="exact"/>
              <w:rPr>
                <w:rFonts w:ascii="標楷體" w:eastAsia="標楷體" w:hAnsi="標楷體"/>
                <w:color w:val="FF0000"/>
                <w:sz w:val="24"/>
                <w:szCs w:val="24"/>
              </w:rPr>
            </w:pPr>
            <w:r w:rsidRPr="00A54272">
              <w:rPr>
                <w:rFonts w:ascii="標楷體" w:eastAsia="標楷體" w:hAnsi="標楷體" w:hint="eastAsia"/>
                <w:color w:val="FF0000"/>
                <w:sz w:val="24"/>
                <w:szCs w:val="24"/>
              </w:rPr>
              <w:t>講師：邀請產官學界青年世代關注性別平等議題之代表人物，講師以業界具實務經驗之主管為主，師資專長背景須具備課程需求之專業關聯度；國際案例介紹以邀請具有國際視野之講師；國內案例分享以曾獲得政府機</w:t>
            </w:r>
            <w:r w:rsidRPr="00A54272">
              <w:rPr>
                <w:rFonts w:ascii="標楷體" w:eastAsia="標楷體" w:hAnsi="標楷體" w:hint="eastAsia"/>
                <w:color w:val="FF0000"/>
                <w:sz w:val="24"/>
                <w:szCs w:val="24"/>
              </w:rPr>
              <w:lastRenderedPageBreak/>
              <w:t>關公開表揚之傑出女性青年優先；體驗學習課程，廣邀各行各業優秀女性主管人員擔任業師，主要以企業界為主，並涵蓋NPO與政府部門，政府部門以事務官為對象。</w:t>
            </w:r>
          </w:p>
          <w:p w:rsidR="00AC2375" w:rsidRPr="00A54272" w:rsidRDefault="00AC2375" w:rsidP="00AC2375">
            <w:pPr>
              <w:numPr>
                <w:ilvl w:val="0"/>
                <w:numId w:val="9"/>
              </w:numPr>
              <w:spacing w:line="280" w:lineRule="exact"/>
              <w:rPr>
                <w:rFonts w:ascii="標楷體" w:eastAsia="標楷體" w:hAnsi="標楷體"/>
                <w:color w:val="FF0000"/>
                <w:sz w:val="24"/>
                <w:szCs w:val="24"/>
              </w:rPr>
            </w:pPr>
            <w:r w:rsidRPr="00A54272">
              <w:rPr>
                <w:rFonts w:ascii="標楷體" w:eastAsia="標楷體" w:hAnsi="標楷體" w:hint="eastAsia"/>
                <w:color w:val="FF0000"/>
                <w:sz w:val="24"/>
                <w:szCs w:val="24"/>
              </w:rPr>
              <w:t>課程內容：以如何提升女性的職場地位、社團及組織管理相關課程，以及領導知能建構、性別平等教育、國際及公共事務參與等。</w:t>
            </w:r>
          </w:p>
        </w:tc>
      </w:tr>
    </w:tbl>
    <w:p w:rsidR="0085273E" w:rsidRPr="001E30E7" w:rsidRDefault="0085273E"/>
    <w:sectPr w:rsidR="0085273E" w:rsidRPr="001E30E7" w:rsidSect="004E50F8">
      <w:footerReference w:type="default" r:id="rId7"/>
      <w:pgSz w:w="11907" w:h="16839"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595" w:rsidRDefault="00187595" w:rsidP="007A1879">
      <w:r>
        <w:separator/>
      </w:r>
    </w:p>
  </w:endnote>
  <w:endnote w:type="continuationSeparator" w:id="0">
    <w:p w:rsidR="00187595" w:rsidRDefault="00187595" w:rsidP="007A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573215"/>
      <w:docPartObj>
        <w:docPartGallery w:val="Page Numbers (Bottom of Page)"/>
        <w:docPartUnique/>
      </w:docPartObj>
    </w:sdtPr>
    <w:sdtEndPr/>
    <w:sdtContent>
      <w:p w:rsidR="007A1879" w:rsidRDefault="007A1879">
        <w:pPr>
          <w:pStyle w:val="a7"/>
          <w:jc w:val="center"/>
        </w:pPr>
        <w:r>
          <w:fldChar w:fldCharType="begin"/>
        </w:r>
        <w:r>
          <w:instrText>PAGE   \* MERGEFORMAT</w:instrText>
        </w:r>
        <w:r>
          <w:fldChar w:fldCharType="separate"/>
        </w:r>
        <w:r w:rsidR="00A54272" w:rsidRPr="00A54272">
          <w:rPr>
            <w:noProof/>
            <w:lang w:val="zh-TW"/>
          </w:rPr>
          <w:t>2</w:t>
        </w:r>
        <w:r>
          <w:fldChar w:fldCharType="end"/>
        </w:r>
      </w:p>
    </w:sdtContent>
  </w:sdt>
  <w:p w:rsidR="007A1879" w:rsidRDefault="007A18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595" w:rsidRDefault="00187595" w:rsidP="007A1879">
      <w:r>
        <w:separator/>
      </w:r>
    </w:p>
  </w:footnote>
  <w:footnote w:type="continuationSeparator" w:id="0">
    <w:p w:rsidR="00187595" w:rsidRDefault="00187595" w:rsidP="007A1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2F8"/>
    <w:multiLevelType w:val="hybridMultilevel"/>
    <w:tmpl w:val="93D859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B70FF0"/>
    <w:multiLevelType w:val="hybridMultilevel"/>
    <w:tmpl w:val="4504067E"/>
    <w:lvl w:ilvl="0" w:tplc="757C979A">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561930"/>
    <w:multiLevelType w:val="hybridMultilevel"/>
    <w:tmpl w:val="0838A0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B77310"/>
    <w:multiLevelType w:val="hybridMultilevel"/>
    <w:tmpl w:val="FC0044FA"/>
    <w:lvl w:ilvl="0" w:tplc="0409000F">
      <w:start w:val="1"/>
      <w:numFmt w:val="decimal"/>
      <w:lvlText w:val="%1."/>
      <w:lvlJc w:val="left"/>
      <w:pPr>
        <w:ind w:left="480" w:hanging="480"/>
      </w:pPr>
    </w:lvl>
    <w:lvl w:ilvl="1" w:tplc="89F26F2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047613"/>
    <w:multiLevelType w:val="hybridMultilevel"/>
    <w:tmpl w:val="FAFE7566"/>
    <w:lvl w:ilvl="0" w:tplc="A196A08A">
      <w:start w:val="1"/>
      <w:numFmt w:val="decimal"/>
      <w:lvlText w:val="(%1)"/>
      <w:lvlJc w:val="left"/>
      <w:pPr>
        <w:ind w:left="621" w:hanging="480"/>
      </w:pPr>
      <w:rPr>
        <w:rFonts w:hint="eastAsia"/>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5" w15:restartNumberingAfterBreak="0">
    <w:nsid w:val="2F9937E8"/>
    <w:multiLevelType w:val="hybridMultilevel"/>
    <w:tmpl w:val="5E1A9E0C"/>
    <w:lvl w:ilvl="0" w:tplc="A196A08A">
      <w:start w:val="1"/>
      <w:numFmt w:val="decimal"/>
      <w:lvlText w:val="(%1)"/>
      <w:lvlJc w:val="left"/>
      <w:pPr>
        <w:ind w:left="502" w:hanging="36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41644D00"/>
    <w:multiLevelType w:val="hybridMultilevel"/>
    <w:tmpl w:val="FAFE7566"/>
    <w:lvl w:ilvl="0" w:tplc="A196A08A">
      <w:start w:val="1"/>
      <w:numFmt w:val="decimal"/>
      <w:lvlText w:val="(%1)"/>
      <w:lvlJc w:val="left"/>
      <w:pPr>
        <w:ind w:left="621" w:hanging="480"/>
      </w:pPr>
      <w:rPr>
        <w:rFonts w:hint="eastAsia"/>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7" w15:restartNumberingAfterBreak="0">
    <w:nsid w:val="41B7529F"/>
    <w:multiLevelType w:val="hybridMultilevel"/>
    <w:tmpl w:val="9BC678E2"/>
    <w:lvl w:ilvl="0" w:tplc="D568A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045421"/>
    <w:multiLevelType w:val="hybridMultilevel"/>
    <w:tmpl w:val="647418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C75EFF"/>
    <w:multiLevelType w:val="hybridMultilevel"/>
    <w:tmpl w:val="4504067E"/>
    <w:lvl w:ilvl="0" w:tplc="757C979A">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7D0AA2"/>
    <w:multiLevelType w:val="hybridMultilevel"/>
    <w:tmpl w:val="13F27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FB6237"/>
    <w:multiLevelType w:val="hybridMultilevel"/>
    <w:tmpl w:val="422285BC"/>
    <w:lvl w:ilvl="0" w:tplc="A196A08A">
      <w:start w:val="1"/>
      <w:numFmt w:val="decimal"/>
      <w:lvlText w:val="(%1)"/>
      <w:lvlJc w:val="left"/>
      <w:pPr>
        <w:ind w:left="502" w:hanging="36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559466C8"/>
    <w:multiLevelType w:val="hybridMultilevel"/>
    <w:tmpl w:val="0838A0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9350A3"/>
    <w:multiLevelType w:val="hybridMultilevel"/>
    <w:tmpl w:val="5E1A9E0C"/>
    <w:lvl w:ilvl="0" w:tplc="A196A08A">
      <w:start w:val="1"/>
      <w:numFmt w:val="decimal"/>
      <w:lvlText w:val="(%1)"/>
      <w:lvlJc w:val="left"/>
      <w:pPr>
        <w:ind w:left="502" w:hanging="36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7EA01377"/>
    <w:multiLevelType w:val="hybridMultilevel"/>
    <w:tmpl w:val="4504067E"/>
    <w:lvl w:ilvl="0" w:tplc="757C979A">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0"/>
  </w:num>
  <w:num w:numId="3">
    <w:abstractNumId w:val="1"/>
  </w:num>
  <w:num w:numId="4">
    <w:abstractNumId w:val="9"/>
  </w:num>
  <w:num w:numId="5">
    <w:abstractNumId w:val="4"/>
  </w:num>
  <w:num w:numId="6">
    <w:abstractNumId w:val="6"/>
  </w:num>
  <w:num w:numId="7">
    <w:abstractNumId w:val="14"/>
  </w:num>
  <w:num w:numId="8">
    <w:abstractNumId w:val="8"/>
  </w:num>
  <w:num w:numId="9">
    <w:abstractNumId w:val="13"/>
  </w:num>
  <w:num w:numId="10">
    <w:abstractNumId w:val="11"/>
  </w:num>
  <w:num w:numId="11">
    <w:abstractNumId w:val="5"/>
  </w:num>
  <w:num w:numId="12">
    <w:abstractNumId w:val="2"/>
  </w:num>
  <w:num w:numId="13">
    <w:abstractNumId w:val="12"/>
  </w:num>
  <w:num w:numId="14">
    <w:abstractNumId w:val="0"/>
  </w:num>
  <w:num w:numId="1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79"/>
    <w:rsid w:val="00004B39"/>
    <w:rsid w:val="0000666D"/>
    <w:rsid w:val="0002294F"/>
    <w:rsid w:val="000310DA"/>
    <w:rsid w:val="00040CF8"/>
    <w:rsid w:val="000442E7"/>
    <w:rsid w:val="00044C2A"/>
    <w:rsid w:val="00073849"/>
    <w:rsid w:val="00076887"/>
    <w:rsid w:val="00077387"/>
    <w:rsid w:val="00086F33"/>
    <w:rsid w:val="000925BB"/>
    <w:rsid w:val="000A23F1"/>
    <w:rsid w:val="000A2E67"/>
    <w:rsid w:val="000A42F3"/>
    <w:rsid w:val="000A742C"/>
    <w:rsid w:val="000B4802"/>
    <w:rsid w:val="000D0D4A"/>
    <w:rsid w:val="001033B3"/>
    <w:rsid w:val="00107546"/>
    <w:rsid w:val="00111915"/>
    <w:rsid w:val="001206C0"/>
    <w:rsid w:val="00121BB9"/>
    <w:rsid w:val="001313E6"/>
    <w:rsid w:val="00131803"/>
    <w:rsid w:val="00133C27"/>
    <w:rsid w:val="00133DD0"/>
    <w:rsid w:val="00136B3D"/>
    <w:rsid w:val="00147533"/>
    <w:rsid w:val="00157107"/>
    <w:rsid w:val="001607D4"/>
    <w:rsid w:val="00167F9A"/>
    <w:rsid w:val="001716FE"/>
    <w:rsid w:val="00181014"/>
    <w:rsid w:val="00185965"/>
    <w:rsid w:val="00187595"/>
    <w:rsid w:val="00193F0C"/>
    <w:rsid w:val="001A1EA8"/>
    <w:rsid w:val="001A2759"/>
    <w:rsid w:val="001A3540"/>
    <w:rsid w:val="001A7B85"/>
    <w:rsid w:val="001A7D3A"/>
    <w:rsid w:val="001B5E0A"/>
    <w:rsid w:val="001E30E7"/>
    <w:rsid w:val="001F04E8"/>
    <w:rsid w:val="001F737A"/>
    <w:rsid w:val="00212C3A"/>
    <w:rsid w:val="00213BDF"/>
    <w:rsid w:val="00220650"/>
    <w:rsid w:val="00231810"/>
    <w:rsid w:val="00241CAC"/>
    <w:rsid w:val="00246980"/>
    <w:rsid w:val="00246C27"/>
    <w:rsid w:val="0025373D"/>
    <w:rsid w:val="002B52D4"/>
    <w:rsid w:val="002B79D8"/>
    <w:rsid w:val="002C5BF9"/>
    <w:rsid w:val="002D3A17"/>
    <w:rsid w:val="002D7012"/>
    <w:rsid w:val="002D7DD7"/>
    <w:rsid w:val="00302947"/>
    <w:rsid w:val="00331E4E"/>
    <w:rsid w:val="00335FBB"/>
    <w:rsid w:val="00350CC3"/>
    <w:rsid w:val="00356657"/>
    <w:rsid w:val="003719E7"/>
    <w:rsid w:val="00381B24"/>
    <w:rsid w:val="00384D51"/>
    <w:rsid w:val="00394410"/>
    <w:rsid w:val="003B2E48"/>
    <w:rsid w:val="003E4E30"/>
    <w:rsid w:val="003E5A42"/>
    <w:rsid w:val="003F170D"/>
    <w:rsid w:val="003F5A17"/>
    <w:rsid w:val="00403680"/>
    <w:rsid w:val="00412016"/>
    <w:rsid w:val="0041569D"/>
    <w:rsid w:val="004353C9"/>
    <w:rsid w:val="00435FB3"/>
    <w:rsid w:val="004A7268"/>
    <w:rsid w:val="004C577C"/>
    <w:rsid w:val="004D4707"/>
    <w:rsid w:val="004E4127"/>
    <w:rsid w:val="004E50F8"/>
    <w:rsid w:val="004F505F"/>
    <w:rsid w:val="00502A2E"/>
    <w:rsid w:val="005031B0"/>
    <w:rsid w:val="00531B38"/>
    <w:rsid w:val="00534778"/>
    <w:rsid w:val="0055215D"/>
    <w:rsid w:val="00552C36"/>
    <w:rsid w:val="005557F4"/>
    <w:rsid w:val="0056153C"/>
    <w:rsid w:val="0057259D"/>
    <w:rsid w:val="0058692D"/>
    <w:rsid w:val="0058799B"/>
    <w:rsid w:val="005A39F4"/>
    <w:rsid w:val="005B04EC"/>
    <w:rsid w:val="005C228B"/>
    <w:rsid w:val="005D5A59"/>
    <w:rsid w:val="005D6779"/>
    <w:rsid w:val="005E1306"/>
    <w:rsid w:val="005E428F"/>
    <w:rsid w:val="005F576C"/>
    <w:rsid w:val="005F6BD0"/>
    <w:rsid w:val="00614188"/>
    <w:rsid w:val="006227EE"/>
    <w:rsid w:val="00626796"/>
    <w:rsid w:val="00627A22"/>
    <w:rsid w:val="00670DD4"/>
    <w:rsid w:val="0068523F"/>
    <w:rsid w:val="00697984"/>
    <w:rsid w:val="006A691E"/>
    <w:rsid w:val="006A7104"/>
    <w:rsid w:val="006C0041"/>
    <w:rsid w:val="006C0890"/>
    <w:rsid w:val="00712974"/>
    <w:rsid w:val="00726281"/>
    <w:rsid w:val="00750FBD"/>
    <w:rsid w:val="00751C40"/>
    <w:rsid w:val="007579AA"/>
    <w:rsid w:val="00762470"/>
    <w:rsid w:val="00770C2C"/>
    <w:rsid w:val="00780990"/>
    <w:rsid w:val="00796101"/>
    <w:rsid w:val="00797C1D"/>
    <w:rsid w:val="007A1879"/>
    <w:rsid w:val="007B1169"/>
    <w:rsid w:val="007B2A04"/>
    <w:rsid w:val="007C55B5"/>
    <w:rsid w:val="007C71B2"/>
    <w:rsid w:val="007F3363"/>
    <w:rsid w:val="007F78E5"/>
    <w:rsid w:val="00804712"/>
    <w:rsid w:val="008058BB"/>
    <w:rsid w:val="00810E83"/>
    <w:rsid w:val="00832439"/>
    <w:rsid w:val="008375A6"/>
    <w:rsid w:val="0084330E"/>
    <w:rsid w:val="008438AF"/>
    <w:rsid w:val="00846078"/>
    <w:rsid w:val="0085094A"/>
    <w:rsid w:val="0085273E"/>
    <w:rsid w:val="00864474"/>
    <w:rsid w:val="0088131B"/>
    <w:rsid w:val="008828AE"/>
    <w:rsid w:val="00882DE3"/>
    <w:rsid w:val="00892CA0"/>
    <w:rsid w:val="00893308"/>
    <w:rsid w:val="008B5115"/>
    <w:rsid w:val="008C243C"/>
    <w:rsid w:val="008C5DA2"/>
    <w:rsid w:val="008D019E"/>
    <w:rsid w:val="008D6456"/>
    <w:rsid w:val="008E321D"/>
    <w:rsid w:val="00901519"/>
    <w:rsid w:val="00903BC3"/>
    <w:rsid w:val="00912767"/>
    <w:rsid w:val="009177C1"/>
    <w:rsid w:val="00926143"/>
    <w:rsid w:val="009274AE"/>
    <w:rsid w:val="009348AF"/>
    <w:rsid w:val="0093591A"/>
    <w:rsid w:val="009542B7"/>
    <w:rsid w:val="0096663D"/>
    <w:rsid w:val="009858FE"/>
    <w:rsid w:val="00985FE5"/>
    <w:rsid w:val="009943A4"/>
    <w:rsid w:val="00995D8B"/>
    <w:rsid w:val="009A4D22"/>
    <w:rsid w:val="009A58C2"/>
    <w:rsid w:val="009C4770"/>
    <w:rsid w:val="009C73BD"/>
    <w:rsid w:val="009D164C"/>
    <w:rsid w:val="009D1BFD"/>
    <w:rsid w:val="009D25CC"/>
    <w:rsid w:val="009F30AD"/>
    <w:rsid w:val="00A07A67"/>
    <w:rsid w:val="00A12A51"/>
    <w:rsid w:val="00A22E23"/>
    <w:rsid w:val="00A2567E"/>
    <w:rsid w:val="00A3127D"/>
    <w:rsid w:val="00A41DE1"/>
    <w:rsid w:val="00A54272"/>
    <w:rsid w:val="00A61B27"/>
    <w:rsid w:val="00A65335"/>
    <w:rsid w:val="00A72825"/>
    <w:rsid w:val="00A749D5"/>
    <w:rsid w:val="00A776EA"/>
    <w:rsid w:val="00A91309"/>
    <w:rsid w:val="00A92CA6"/>
    <w:rsid w:val="00AB1C5E"/>
    <w:rsid w:val="00AC052B"/>
    <w:rsid w:val="00AC1A83"/>
    <w:rsid w:val="00AC2375"/>
    <w:rsid w:val="00AC4EF7"/>
    <w:rsid w:val="00AD7861"/>
    <w:rsid w:val="00AE6CFD"/>
    <w:rsid w:val="00AE7EB9"/>
    <w:rsid w:val="00AE7EF9"/>
    <w:rsid w:val="00AF5093"/>
    <w:rsid w:val="00B14894"/>
    <w:rsid w:val="00B1532A"/>
    <w:rsid w:val="00B177AC"/>
    <w:rsid w:val="00B25C29"/>
    <w:rsid w:val="00B562E6"/>
    <w:rsid w:val="00B7509F"/>
    <w:rsid w:val="00B82758"/>
    <w:rsid w:val="00B82D7F"/>
    <w:rsid w:val="00BB673A"/>
    <w:rsid w:val="00BB759D"/>
    <w:rsid w:val="00BD0F27"/>
    <w:rsid w:val="00BF1FA1"/>
    <w:rsid w:val="00BF2EA9"/>
    <w:rsid w:val="00C17B24"/>
    <w:rsid w:val="00C2068F"/>
    <w:rsid w:val="00C22E31"/>
    <w:rsid w:val="00C32EEB"/>
    <w:rsid w:val="00C47219"/>
    <w:rsid w:val="00C600B7"/>
    <w:rsid w:val="00C61BD7"/>
    <w:rsid w:val="00C64097"/>
    <w:rsid w:val="00C7366F"/>
    <w:rsid w:val="00C76DA6"/>
    <w:rsid w:val="00CA29C6"/>
    <w:rsid w:val="00CB1FDE"/>
    <w:rsid w:val="00CB77EF"/>
    <w:rsid w:val="00CC5FF4"/>
    <w:rsid w:val="00CC6F73"/>
    <w:rsid w:val="00CD3D4D"/>
    <w:rsid w:val="00CD5831"/>
    <w:rsid w:val="00CE5A3A"/>
    <w:rsid w:val="00CE66FF"/>
    <w:rsid w:val="00CE6DFC"/>
    <w:rsid w:val="00CF711C"/>
    <w:rsid w:val="00D00F4C"/>
    <w:rsid w:val="00D06E10"/>
    <w:rsid w:val="00D07CB0"/>
    <w:rsid w:val="00D4072F"/>
    <w:rsid w:val="00D45082"/>
    <w:rsid w:val="00D549BC"/>
    <w:rsid w:val="00D55161"/>
    <w:rsid w:val="00D603DD"/>
    <w:rsid w:val="00D82A9D"/>
    <w:rsid w:val="00D87340"/>
    <w:rsid w:val="00DA2120"/>
    <w:rsid w:val="00DD58E7"/>
    <w:rsid w:val="00E00801"/>
    <w:rsid w:val="00E206BE"/>
    <w:rsid w:val="00E21B31"/>
    <w:rsid w:val="00E25152"/>
    <w:rsid w:val="00E27A46"/>
    <w:rsid w:val="00E3228D"/>
    <w:rsid w:val="00E47A2E"/>
    <w:rsid w:val="00E76C0F"/>
    <w:rsid w:val="00E806BF"/>
    <w:rsid w:val="00E93A67"/>
    <w:rsid w:val="00E95D37"/>
    <w:rsid w:val="00EA7C54"/>
    <w:rsid w:val="00EB3BE0"/>
    <w:rsid w:val="00EB467C"/>
    <w:rsid w:val="00EB5854"/>
    <w:rsid w:val="00ED2307"/>
    <w:rsid w:val="00EE1CA1"/>
    <w:rsid w:val="00EE24B8"/>
    <w:rsid w:val="00F25E2F"/>
    <w:rsid w:val="00F270DD"/>
    <w:rsid w:val="00F30C70"/>
    <w:rsid w:val="00F31D7E"/>
    <w:rsid w:val="00F33412"/>
    <w:rsid w:val="00F4526A"/>
    <w:rsid w:val="00F5281A"/>
    <w:rsid w:val="00F6688D"/>
    <w:rsid w:val="00F82346"/>
    <w:rsid w:val="00F86453"/>
    <w:rsid w:val="00FA5211"/>
    <w:rsid w:val="00FD5B17"/>
    <w:rsid w:val="00FD672B"/>
    <w:rsid w:val="00FF1D97"/>
    <w:rsid w:val="00FF2A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FC6640-C821-419A-AE3A-39571DC9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87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A1879"/>
    <w:pPr>
      <w:spacing w:line="400" w:lineRule="exact"/>
      <w:ind w:leftChars="200" w:left="480"/>
      <w:jc w:val="both"/>
    </w:pPr>
    <w:rPr>
      <w:lang w:val="x-none" w:eastAsia="x-none"/>
    </w:rPr>
  </w:style>
  <w:style w:type="character" w:customStyle="1" w:styleId="a4">
    <w:name w:val="清單段落 字元"/>
    <w:link w:val="a3"/>
    <w:uiPriority w:val="34"/>
    <w:locked/>
    <w:rsid w:val="007A1879"/>
    <w:rPr>
      <w:rFonts w:ascii="Calibri" w:eastAsia="新細明體" w:hAnsi="Calibri" w:cs="Times New Roman"/>
      <w:lang w:val="x-none" w:eastAsia="x-none"/>
    </w:rPr>
  </w:style>
  <w:style w:type="paragraph" w:styleId="Web">
    <w:name w:val="Normal (Web)"/>
    <w:basedOn w:val="a"/>
    <w:rsid w:val="007A1879"/>
    <w:pPr>
      <w:widowControl/>
      <w:spacing w:before="100" w:beforeAutospacing="1" w:after="119"/>
    </w:pPr>
    <w:rPr>
      <w:rFonts w:ascii="新細明體" w:hAnsi="新細明體" w:cs="新細明體"/>
      <w:kern w:val="0"/>
      <w:szCs w:val="24"/>
    </w:rPr>
  </w:style>
  <w:style w:type="paragraph" w:styleId="a5">
    <w:name w:val="header"/>
    <w:basedOn w:val="a"/>
    <w:link w:val="a6"/>
    <w:uiPriority w:val="99"/>
    <w:unhideWhenUsed/>
    <w:rsid w:val="007A1879"/>
    <w:pPr>
      <w:tabs>
        <w:tab w:val="center" w:pos="4153"/>
        <w:tab w:val="right" w:pos="8306"/>
      </w:tabs>
      <w:snapToGrid w:val="0"/>
    </w:pPr>
    <w:rPr>
      <w:sz w:val="20"/>
      <w:szCs w:val="20"/>
    </w:rPr>
  </w:style>
  <w:style w:type="character" w:customStyle="1" w:styleId="a6">
    <w:name w:val="頁首 字元"/>
    <w:basedOn w:val="a0"/>
    <w:link w:val="a5"/>
    <w:uiPriority w:val="99"/>
    <w:rsid w:val="007A1879"/>
    <w:rPr>
      <w:rFonts w:ascii="Calibri" w:eastAsia="新細明體" w:hAnsi="Calibri" w:cs="Times New Roman"/>
      <w:sz w:val="20"/>
      <w:szCs w:val="20"/>
    </w:rPr>
  </w:style>
  <w:style w:type="paragraph" w:styleId="a7">
    <w:name w:val="footer"/>
    <w:basedOn w:val="a"/>
    <w:link w:val="a8"/>
    <w:uiPriority w:val="99"/>
    <w:unhideWhenUsed/>
    <w:rsid w:val="007A1879"/>
    <w:pPr>
      <w:tabs>
        <w:tab w:val="center" w:pos="4153"/>
        <w:tab w:val="right" w:pos="8306"/>
      </w:tabs>
      <w:snapToGrid w:val="0"/>
    </w:pPr>
    <w:rPr>
      <w:sz w:val="20"/>
      <w:szCs w:val="20"/>
    </w:rPr>
  </w:style>
  <w:style w:type="character" w:customStyle="1" w:styleId="a8">
    <w:name w:val="頁尾 字元"/>
    <w:basedOn w:val="a0"/>
    <w:link w:val="a7"/>
    <w:uiPriority w:val="99"/>
    <w:rsid w:val="007A1879"/>
    <w:rPr>
      <w:rFonts w:ascii="Calibri" w:eastAsia="新細明體" w:hAnsi="Calibri" w:cs="Times New Roman"/>
      <w:sz w:val="20"/>
      <w:szCs w:val="20"/>
    </w:rPr>
  </w:style>
  <w:style w:type="paragraph" w:styleId="a9">
    <w:name w:val="Balloon Text"/>
    <w:basedOn w:val="a"/>
    <w:link w:val="aa"/>
    <w:uiPriority w:val="99"/>
    <w:semiHidden/>
    <w:unhideWhenUsed/>
    <w:rsid w:val="005F576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F576C"/>
    <w:rPr>
      <w:rFonts w:asciiTheme="majorHAnsi" w:eastAsiaTheme="majorEastAsia" w:hAnsiTheme="majorHAnsi" w:cstheme="majorBidi"/>
      <w:sz w:val="18"/>
      <w:szCs w:val="18"/>
    </w:rPr>
  </w:style>
  <w:style w:type="table" w:styleId="ab">
    <w:name w:val="Table Grid"/>
    <w:basedOn w:val="a1"/>
    <w:uiPriority w:val="59"/>
    <w:rsid w:val="007C55B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說明辦法首行"/>
    <w:basedOn w:val="a"/>
    <w:rsid w:val="00F31D7E"/>
    <w:pPr>
      <w:kinsoku w:val="0"/>
      <w:adjustRightInd w:val="0"/>
      <w:snapToGrid w:val="0"/>
      <w:ind w:left="964" w:hanging="964"/>
      <w:jc w:val="both"/>
    </w:pPr>
    <w:rPr>
      <w:rFonts w:ascii="Times New Roman" w:eastAsia="標楷體" w:hAnsi="Times New Roman"/>
      <w:sz w:val="32"/>
      <w:szCs w:val="20"/>
    </w:rPr>
  </w:style>
  <w:style w:type="paragraph" w:customStyle="1" w:styleId="Web1">
    <w:name w:val="內文 (Web)1"/>
    <w:basedOn w:val="a"/>
    <w:rsid w:val="00F31D7E"/>
    <w:pPr>
      <w:widowControl/>
      <w:suppressAutoHyphens/>
      <w:spacing w:before="100" w:after="100"/>
    </w:pPr>
    <w:rPr>
      <w:rFonts w:ascii="新細明體" w:eastAsia="Microsoft YaHei" w:hAnsi="新細明體" w:cs="新細明體"/>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229</Words>
  <Characters>1307</Characters>
  <Application>Microsoft Office Word</Application>
  <DocSecurity>0</DocSecurity>
  <Lines>10</Lines>
  <Paragraphs>3</Paragraphs>
  <ScaleCrop>false</ScaleCrop>
  <Company>SYNNEX</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黃竹萱</dc:creator>
  <cp:keywords/>
  <dc:description/>
  <cp:lastModifiedBy>楊淑玲</cp:lastModifiedBy>
  <cp:revision>185</cp:revision>
  <cp:lastPrinted>2017-02-17T08:30:00Z</cp:lastPrinted>
  <dcterms:created xsi:type="dcterms:W3CDTF">2015-10-27T08:04:00Z</dcterms:created>
  <dcterms:modified xsi:type="dcterms:W3CDTF">2017-02-22T11:00:00Z</dcterms:modified>
</cp:coreProperties>
</file>