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45" w:rsidRPr="00161DA8" w:rsidRDefault="00FF5445">
      <w:pPr>
        <w:widowControl/>
        <w:rPr>
          <w:b/>
          <w:color w:val="000000" w:themeColor="text1"/>
          <w:sz w:val="28"/>
        </w:rPr>
      </w:pPr>
    </w:p>
    <w:p w:rsidR="008410C9" w:rsidRPr="00161DA8" w:rsidRDefault="00FF5445" w:rsidP="00FF5445">
      <w:pPr>
        <w:kinsoku w:val="0"/>
        <w:spacing w:after="120" w:line="360" w:lineRule="exact"/>
        <w:ind w:left="336" w:hangingChars="140" w:hanging="336"/>
        <w:jc w:val="center"/>
        <w:rPr>
          <w:b/>
          <w:color w:val="000000" w:themeColor="text1"/>
          <w:sz w:val="28"/>
        </w:rPr>
      </w:pPr>
      <w:r w:rsidRPr="00161DA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326BD" wp14:editId="2C21D782">
                <wp:simplePos x="0" y="0"/>
                <wp:positionH relativeFrom="column">
                  <wp:posOffset>-610235</wp:posOffset>
                </wp:positionH>
                <wp:positionV relativeFrom="paragraph">
                  <wp:posOffset>-660400</wp:posOffset>
                </wp:positionV>
                <wp:extent cx="1828800" cy="1828800"/>
                <wp:effectExtent l="0" t="0" r="26035" b="1651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259" w:rsidRPr="00FF5445" w:rsidRDefault="006C7F8E" w:rsidP="00816E2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F727C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326BD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48.05pt;margin-top:-52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" filled="f" strokeweight=".5pt">
                <v:textbox style="mso-fit-shape-to-text:t">
                  <w:txbxContent>
                    <w:p w:rsidR="00BA1259" w:rsidRPr="00FF5445" w:rsidRDefault="006C7F8E" w:rsidP="00816E24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F727C"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0C9" w:rsidRPr="00161DA8">
        <w:rPr>
          <w:rFonts w:hint="eastAsia"/>
          <w:b/>
          <w:color w:val="000000" w:themeColor="text1"/>
          <w:sz w:val="28"/>
        </w:rPr>
        <w:t>桃園市政府</w:t>
      </w:r>
      <w:r w:rsidR="008410C9" w:rsidRPr="00161DA8">
        <w:rPr>
          <w:b/>
          <w:color w:val="000000" w:themeColor="text1"/>
          <w:sz w:val="28"/>
        </w:rPr>
        <w:t>性別影響評估檢視表</w:t>
      </w:r>
      <w:r w:rsidR="008410C9" w:rsidRPr="00161DA8">
        <w:rPr>
          <w:rFonts w:hint="eastAsia"/>
          <w:b/>
          <w:color w:val="000000" w:themeColor="text1"/>
          <w:sz w:val="28"/>
        </w:rPr>
        <w:t>(</w:t>
      </w:r>
      <w:r w:rsidR="008410C9" w:rsidRPr="00161DA8">
        <w:rPr>
          <w:rFonts w:hint="eastAsia"/>
          <w:b/>
          <w:color w:val="000000" w:themeColor="text1"/>
          <w:sz w:val="28"/>
        </w:rPr>
        <w:t>計畫案</w:t>
      </w:r>
      <w:r w:rsidR="008410C9" w:rsidRPr="00161DA8">
        <w:rPr>
          <w:rFonts w:hint="eastAsia"/>
          <w:b/>
          <w:color w:val="000000" w:themeColor="text1"/>
          <w:sz w:val="28"/>
        </w:rPr>
        <w:t>)</w:t>
      </w:r>
    </w:p>
    <w:p w:rsidR="00601F64" w:rsidRPr="00161DA8" w:rsidRDefault="00601F64" w:rsidP="00133438">
      <w:pPr>
        <w:kinsoku w:val="0"/>
        <w:spacing w:after="120" w:line="360" w:lineRule="exact"/>
        <w:ind w:leftChars="-300" w:left="337" w:rightChars="-496" w:right="-1190" w:hangingChars="440" w:hanging="1057"/>
        <w:rPr>
          <w:rFonts w:ascii="Times New Roman" w:eastAsia="新細明體" w:hAnsi="Times New Roman" w:cs="Times New Roman"/>
          <w:b/>
          <w:color w:val="000000" w:themeColor="text1"/>
          <w:szCs w:val="24"/>
          <w:bdr w:val="single" w:sz="4" w:space="0" w:color="auto"/>
        </w:rPr>
      </w:pPr>
      <w:r w:rsidRPr="00161DA8">
        <w:rPr>
          <w:rFonts w:ascii="Times New Roman" w:eastAsia="新細明體" w:hAnsi="Times New Roman" w:cs="Times New Roman"/>
          <w:b/>
          <w:color w:val="000000" w:themeColor="text1"/>
          <w:szCs w:val="24"/>
        </w:rPr>
        <w:t>【第一部分】</w:t>
      </w:r>
      <w:r w:rsidRPr="00161DA8">
        <w:rPr>
          <w:rFonts w:ascii="Times New Roman" w:eastAsia="細明體" w:hAnsi="細明體" w:cs="Times New Roman"/>
          <w:b/>
          <w:color w:val="000000" w:themeColor="text1"/>
          <w:szCs w:val="24"/>
        </w:rPr>
        <w:t>：本部分由機關人員填寫</w:t>
      </w:r>
      <w:r w:rsidRPr="00161DA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(</w:t>
      </w:r>
      <w:r w:rsidRPr="00161DA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註</w:t>
      </w:r>
      <w:r w:rsidRPr="00161DA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1)</w:t>
      </w:r>
      <w:r w:rsidR="0013343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 xml:space="preserve">                             (108</w:t>
      </w:r>
      <w:r w:rsidR="0013343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年</w:t>
      </w:r>
      <w:r w:rsidR="0013343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3</w:t>
      </w:r>
      <w:r w:rsidR="0013343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月</w:t>
      </w:r>
      <w:r w:rsidR="00BB25C2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5</w:t>
      </w:r>
      <w:r w:rsidR="0013343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日版</w:t>
      </w:r>
      <w:r w:rsidR="00133438">
        <w:rPr>
          <w:rFonts w:ascii="Times New Roman" w:eastAsia="細明體" w:hAnsi="細明體" w:cs="Times New Roman" w:hint="eastAsia"/>
          <w:b/>
          <w:color w:val="000000" w:themeColor="text1"/>
          <w:szCs w:val="24"/>
        </w:rPr>
        <w:t>)</w:t>
      </w: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221"/>
        <w:gridCol w:w="346"/>
        <w:gridCol w:w="271"/>
        <w:gridCol w:w="220"/>
        <w:gridCol w:w="76"/>
        <w:gridCol w:w="150"/>
        <w:gridCol w:w="151"/>
        <w:gridCol w:w="56"/>
        <w:gridCol w:w="13"/>
        <w:gridCol w:w="1731"/>
        <w:gridCol w:w="167"/>
        <w:gridCol w:w="1018"/>
        <w:gridCol w:w="43"/>
        <w:gridCol w:w="6"/>
        <w:gridCol w:w="1768"/>
        <w:gridCol w:w="2076"/>
      </w:tblGrid>
      <w:tr w:rsidR="00BA1259" w:rsidRPr="00161DA8" w:rsidTr="005E7CF9">
        <w:trPr>
          <w:trHeight w:val="453"/>
        </w:trPr>
        <w:tc>
          <w:tcPr>
            <w:tcW w:w="10156" w:type="dxa"/>
            <w:gridSpan w:val="1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01F64" w:rsidRPr="00161DA8" w:rsidRDefault="00601F64" w:rsidP="000D5BC7">
            <w:pPr>
              <w:spacing w:line="240" w:lineRule="atLeas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填表日期：</w:t>
            </w:r>
            <w:r w:rsidR="000D5BC7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108</w:t>
            </w: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年</w:t>
            </w:r>
            <w:r w:rsidR="000D5BC7">
              <w:rPr>
                <w:rFonts w:ascii="Calibri" w:eastAsia="新細明體" w:hAnsi="Calibri" w:cs="Times New Roman" w:hint="eastAsia"/>
                <w:b/>
                <w:bCs/>
                <w:color w:val="000000" w:themeColor="text1"/>
                <w:szCs w:val="24"/>
              </w:rPr>
              <w:t>9</w:t>
            </w: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月</w:t>
            </w: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0D5BC7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25</w:t>
            </w: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日</w:t>
            </w:r>
          </w:p>
        </w:tc>
      </w:tr>
      <w:tr w:rsidR="00BA1259" w:rsidRPr="00161DA8" w:rsidTr="005E7CF9">
        <w:trPr>
          <w:trHeight w:val="633"/>
        </w:trPr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1F64" w:rsidRPr="00161DA8" w:rsidRDefault="00601F64" w:rsidP="000D5BC7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填表人姓名：</w:t>
            </w:r>
            <w:r w:rsidR="000D5BC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吳淑靜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                            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                                              </w:t>
            </w:r>
          </w:p>
        </w:tc>
        <w:tc>
          <w:tcPr>
            <w:tcW w:w="7029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1F64" w:rsidRPr="00161DA8" w:rsidRDefault="00601F64" w:rsidP="00601F64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職稱：</w:t>
            </w:r>
            <w:r w:rsidR="000D5BC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聘用專案助理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　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身份：</w:t>
            </w:r>
            <w:r w:rsidR="000D5BC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業務單位人員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　</w:t>
            </w:r>
          </w:p>
          <w:p w:rsidR="00601F64" w:rsidRPr="00161DA8" w:rsidRDefault="00601F64" w:rsidP="00601F64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e-mail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：</w:t>
            </w:r>
            <w:r w:rsidR="000D5BC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10016047@</w:t>
            </w:r>
            <w:r w:rsidR="000D5BC7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mail.tycg.gov.tw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 </w:t>
            </w:r>
            <w:r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非業務單位人員，</w:t>
            </w:r>
          </w:p>
          <w:p w:rsidR="00601F64" w:rsidRPr="00161DA8" w:rsidRDefault="00601F64" w:rsidP="00601F64">
            <w:pPr>
              <w:spacing w:line="400" w:lineRule="exact"/>
              <w:ind w:leftChars="1310" w:left="3144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（請說明：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________________   </w:t>
            </w:r>
            <w:r w:rsidRPr="00161DA8">
              <w:rPr>
                <w:rFonts w:ascii="Calibri" w:eastAsia="標楷體" w:hAnsi="Calibri" w:cs="Times New Roman"/>
                <w:color w:val="000000" w:themeColor="text1"/>
                <w:szCs w:val="24"/>
              </w:rPr>
              <w:t>）</w:t>
            </w:r>
          </w:p>
        </w:tc>
      </w:tr>
      <w:tr w:rsidR="00BA1259" w:rsidRPr="00161DA8" w:rsidTr="005E7CF9">
        <w:trPr>
          <w:trHeight w:val="542"/>
        </w:trPr>
        <w:tc>
          <w:tcPr>
            <w:tcW w:w="3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1F64" w:rsidRPr="00161DA8" w:rsidRDefault="00601F64" w:rsidP="00601F64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電話：</w:t>
            </w:r>
            <w:r w:rsidR="000D5BC7">
              <w:rPr>
                <w:rFonts w:ascii="Calibri" w:hAnsi="Calibri" w:hint="eastAsia"/>
                <w:color w:val="000000" w:themeColor="text1"/>
              </w:rPr>
              <w:t>03-4225205#7003</w:t>
            </w:r>
          </w:p>
        </w:tc>
        <w:tc>
          <w:tcPr>
            <w:tcW w:w="702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1F64" w:rsidRPr="00161DA8" w:rsidRDefault="00601F64" w:rsidP="00601F64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2268"/>
        </w:trPr>
        <w:tc>
          <w:tcPr>
            <w:tcW w:w="10156" w:type="dxa"/>
            <w:gridSpan w:val="18"/>
            <w:tcBorders>
              <w:top w:val="single" w:sz="4" w:space="0" w:color="auto"/>
              <w:bottom w:val="thickThinSmallGap" w:sz="24" w:space="0" w:color="auto"/>
            </w:tcBorders>
          </w:tcPr>
          <w:p w:rsidR="00601F64" w:rsidRPr="00161DA8" w:rsidRDefault="00601F64" w:rsidP="00601F64">
            <w:pPr>
              <w:spacing w:line="240" w:lineRule="atLeas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填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 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表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 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説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 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明</w:t>
            </w:r>
          </w:p>
          <w:p w:rsidR="00601F64" w:rsidRPr="00161DA8" w:rsidRDefault="00601F64" w:rsidP="00601F64">
            <w:pPr>
              <w:adjustRightInd w:val="0"/>
              <w:spacing w:line="300" w:lineRule="atLeast"/>
              <w:ind w:leftChars="1" w:left="461" w:rightChars="40" w:right="96" w:hangingChars="191" w:hanging="459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一、建議各單位於計畫研擬初期，即徵詢民間性別平等專家學者意見；計畫研擬完成後，應併同本表送請民間性別平等專家學者進行程序參與，參酌其意見修正計畫內容，並填寫「玖、評估結果」後通知程序參與者。</w:t>
            </w:r>
          </w:p>
          <w:p w:rsidR="00601F64" w:rsidRPr="00161DA8" w:rsidRDefault="00601F64" w:rsidP="00422791">
            <w:pPr>
              <w:adjustRightInd w:val="0"/>
              <w:spacing w:line="300" w:lineRule="atLeast"/>
              <w:ind w:leftChars="1" w:left="461" w:rightChars="40" w:right="96" w:hangingChars="191" w:hanging="459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二、程序參與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者應名列台灣國家婦女館性別主流化人才資料庫，或本市在地性別人才資料庫</w:t>
            </w:r>
            <w:r w:rsidR="00422791"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(</w:t>
            </w:r>
            <w:r w:rsidR="00422791"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請優先聘請曾參與性別影響評估案之專家學者</w:t>
            </w:r>
            <w:r w:rsidR="00422791"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)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BA1259" w:rsidRPr="00161DA8" w:rsidTr="005E7CF9">
        <w:trPr>
          <w:trHeight w:val="480"/>
        </w:trPr>
        <w:tc>
          <w:tcPr>
            <w:tcW w:w="1843" w:type="dxa"/>
            <w:gridSpan w:val="2"/>
            <w:tcBorders>
              <w:top w:val="thickThinSmallGap" w:sz="24" w:space="0" w:color="auto"/>
            </w:tcBorders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壹、計畫名稱</w:t>
            </w:r>
          </w:p>
        </w:tc>
        <w:tc>
          <w:tcPr>
            <w:tcW w:w="8313" w:type="dxa"/>
            <w:gridSpan w:val="16"/>
            <w:vAlign w:val="center"/>
          </w:tcPr>
          <w:p w:rsidR="00601F64" w:rsidRPr="00161DA8" w:rsidRDefault="000D5BC7" w:rsidP="00601F64">
            <w:pPr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CA65D1">
              <w:rPr>
                <w:rFonts w:asciiTheme="minorEastAsia" w:hAnsiTheme="minorEastAsia" w:hint="eastAsia"/>
                <w:szCs w:val="24"/>
              </w:rPr>
              <w:t>青世代多元觀點社群平台發聲計畫</w:t>
            </w:r>
          </w:p>
        </w:tc>
      </w:tr>
      <w:tr w:rsidR="00BA1259" w:rsidRPr="00161DA8" w:rsidTr="005E7CF9">
        <w:tc>
          <w:tcPr>
            <w:tcW w:w="1843" w:type="dxa"/>
            <w:gridSpan w:val="2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貳、主辦機關</w:t>
            </w:r>
          </w:p>
        </w:tc>
        <w:tc>
          <w:tcPr>
            <w:tcW w:w="3402" w:type="dxa"/>
            <w:gridSpan w:val="11"/>
            <w:vAlign w:val="center"/>
          </w:tcPr>
          <w:p w:rsidR="00601F64" w:rsidRPr="00161DA8" w:rsidRDefault="000D5BC7" w:rsidP="00601F64">
            <w:pPr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>
              <w:rPr>
                <w:rFonts w:ascii="Calibri" w:hAnsi="Calibri" w:hint="eastAsia"/>
                <w:b/>
                <w:color w:val="000000" w:themeColor="text1"/>
              </w:rPr>
              <w:t>桃園市政府青年事務局</w:t>
            </w:r>
          </w:p>
        </w:tc>
        <w:tc>
          <w:tcPr>
            <w:tcW w:w="1061" w:type="dxa"/>
            <w:gridSpan w:val="2"/>
            <w:vAlign w:val="center"/>
          </w:tcPr>
          <w:p w:rsidR="00601F64" w:rsidRPr="00161DA8" w:rsidRDefault="00601F64" w:rsidP="00601F64">
            <w:pPr>
              <w:spacing w:before="120" w:after="120" w:line="360" w:lineRule="exac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類型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府決行計畫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 </w:t>
            </w:r>
          </w:p>
          <w:p w:rsidR="00601F64" w:rsidRPr="00161DA8" w:rsidRDefault="000D5BC7" w:rsidP="00601F64">
            <w:pPr>
              <w:spacing w:line="400" w:lineRule="exact"/>
              <w:ind w:leftChars="-28" w:left="-67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▓</w:t>
            </w:r>
            <w:r w:rsidR="00601F64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非府決行計畫</w:t>
            </w:r>
            <w:r w:rsidR="00601F64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</w:p>
        </w:tc>
      </w:tr>
      <w:tr w:rsidR="00BA1259" w:rsidRPr="00161DA8" w:rsidTr="005E7CF9">
        <w:trPr>
          <w:trHeight w:val="491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參、計畫內容涉及領域：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勾選（可複選）</w:t>
            </w: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3-1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權力、決策、影響力領域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3-2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就業、經濟、福利領域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3-3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人口、婚姻、家庭領域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3-4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教育、文化、媒體領域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0D5BC7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>
              <w:rPr>
                <w:rFonts w:ascii="Calibri" w:hAnsi="Calibri"/>
                <w:b/>
                <w:color w:val="000000" w:themeColor="text1"/>
              </w:rPr>
              <w:sym w:font="Wingdings 2" w:char="F050"/>
            </w: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3-5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人身安全、司法領域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3-6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健康、醫療、照顧領域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3-7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環境、能源、科技領域</w:t>
            </w:r>
          </w:p>
        </w:tc>
        <w:tc>
          <w:tcPr>
            <w:tcW w:w="3850" w:type="dxa"/>
            <w:gridSpan w:val="3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369"/>
        </w:trPr>
        <w:tc>
          <w:tcPr>
            <w:tcW w:w="6306" w:type="dxa"/>
            <w:gridSpan w:val="15"/>
            <w:tcBorders>
              <w:bottom w:val="thickThinSmallGap" w:sz="24" w:space="0" w:color="auto"/>
            </w:tcBorders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3-8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其他（勾選「其他」欄位者，請簡述計畫涉及領域）</w:t>
            </w:r>
          </w:p>
        </w:tc>
        <w:tc>
          <w:tcPr>
            <w:tcW w:w="3850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BA1259" w:rsidRPr="00161DA8" w:rsidTr="005E7CF9">
        <w:trPr>
          <w:trHeight w:val="480"/>
        </w:trPr>
        <w:tc>
          <w:tcPr>
            <w:tcW w:w="10156" w:type="dxa"/>
            <w:gridSpan w:val="18"/>
            <w:tcBorders>
              <w:top w:val="thickThinSmallGap" w:sz="24" w:space="0" w:color="auto"/>
            </w:tcBorders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360" w:lineRule="atLeast"/>
              <w:ind w:leftChars="-45" w:left="-108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肆、問題與需求評估</w:t>
            </w:r>
          </w:p>
        </w:tc>
      </w:tr>
      <w:tr w:rsidR="00BA1259" w:rsidRPr="00161DA8" w:rsidTr="005E7CF9">
        <w:trPr>
          <w:cantSplit/>
          <w:trHeight w:val="302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Chars="-15" w:left="346" w:hangingChars="159" w:hanging="382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說　明</w:t>
            </w:r>
          </w:p>
        </w:tc>
        <w:tc>
          <w:tcPr>
            <w:tcW w:w="3844" w:type="dxa"/>
            <w:gridSpan w:val="2"/>
            <w:shd w:val="clear" w:color="auto" w:fill="auto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Chars="-44" w:left="-106" w:rightChars="-45" w:right="-108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備　註</w:t>
            </w:r>
          </w:p>
        </w:tc>
      </w:tr>
      <w:tr w:rsidR="00BA1259" w:rsidRPr="00161DA8" w:rsidTr="005E7CF9">
        <w:trPr>
          <w:cantSplit/>
          <w:trHeight w:val="302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601F64" w:rsidRPr="00161DA8" w:rsidRDefault="00601F64" w:rsidP="00601F64">
            <w:pPr>
              <w:spacing w:before="60" w:after="60" w:line="300" w:lineRule="exact"/>
              <w:ind w:left="435" w:hangingChars="181" w:hanging="435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lastRenderedPageBreak/>
              <w:t>4-1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計畫之現況問題與需求概述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0D5BC7" w:rsidRPr="00713494" w:rsidRDefault="000D5BC7" w:rsidP="000D5BC7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桃園為</w:t>
            </w:r>
            <w:r w:rsidRPr="00713494">
              <w:rPr>
                <w:rFonts w:asciiTheme="minorEastAsia" w:hAnsiTheme="minorEastAsia" w:hint="eastAsia"/>
                <w:szCs w:val="24"/>
              </w:rPr>
              <w:t>全臺市民平均年齡最年輕的城市，透過網路方式，以創新、活潑的影像傳遞訊息，其效益將大於開設各種實體課程或講座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D5BC7" w:rsidRDefault="000D5BC7" w:rsidP="000D5BC7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考量前開原因，本局自</w:t>
            </w:r>
            <w:r w:rsidRPr="00713494">
              <w:rPr>
                <w:rFonts w:asciiTheme="minorEastAsia" w:hAnsiTheme="minorEastAsia" w:hint="eastAsia"/>
                <w:szCs w:val="24"/>
              </w:rPr>
              <w:t>109年</w:t>
            </w:r>
            <w:r>
              <w:rPr>
                <w:rFonts w:asciiTheme="minorEastAsia" w:hAnsiTheme="minorEastAsia" w:hint="eastAsia"/>
                <w:szCs w:val="24"/>
              </w:rPr>
              <w:t>起</w:t>
            </w:r>
            <w:r w:rsidRPr="00713494">
              <w:rPr>
                <w:rFonts w:asciiTheme="minorEastAsia" w:hAnsiTheme="minorEastAsia" w:hint="eastAsia"/>
                <w:szCs w:val="24"/>
              </w:rPr>
              <w:t>將辦理「青世代多元觀點社群平臺發聲計畫」，以影像為主要方式，將資訊製作成影片在社群平臺上播放，</w:t>
            </w:r>
            <w:r>
              <w:rPr>
                <w:rFonts w:asciiTheme="minorEastAsia" w:hAnsiTheme="minorEastAsia" w:hint="eastAsia"/>
                <w:szCs w:val="24"/>
              </w:rPr>
              <w:t>期望</w:t>
            </w:r>
            <w:r w:rsidRPr="00713494">
              <w:rPr>
                <w:rFonts w:asciiTheme="minorEastAsia" w:hAnsiTheme="minorEastAsia" w:hint="eastAsia"/>
                <w:szCs w:val="24"/>
              </w:rPr>
              <w:t>拉近與青年之間的距離，</w:t>
            </w:r>
            <w:r>
              <w:rPr>
                <w:rFonts w:asciiTheme="minorEastAsia" w:hAnsiTheme="minorEastAsia" w:hint="eastAsia"/>
                <w:szCs w:val="24"/>
              </w:rPr>
              <w:t>同時</w:t>
            </w:r>
            <w:r w:rsidRPr="00713494">
              <w:rPr>
                <w:rFonts w:asciiTheme="minorEastAsia" w:hAnsiTheme="minorEastAsia" w:hint="eastAsia"/>
                <w:szCs w:val="24"/>
              </w:rPr>
              <w:t>大幅提高資訊受眾的寬廣度。</w:t>
            </w:r>
          </w:p>
          <w:p w:rsidR="000D5BC7" w:rsidRDefault="000D5BC7" w:rsidP="000D5BC7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hint="eastAsia"/>
                <w:color w:val="000000" w:themeColor="text1"/>
              </w:rPr>
              <w:t>惟許多議題及觀念，例如性別歧視、性別刻板印象等，可能根深蒂固在民眾心中，並反映於行為舉止上，要扭轉這些深層的觀念並不容易。</w:t>
            </w:r>
          </w:p>
          <w:p w:rsidR="00601F64" w:rsidRPr="000D5BC7" w:rsidRDefault="000D5BC7" w:rsidP="000D5BC7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 w:rsidRPr="000D5BC7">
              <w:rPr>
                <w:rFonts w:ascii="Calibri" w:hAnsi="Calibri" w:hint="eastAsia"/>
                <w:color w:val="000000" w:themeColor="text1"/>
              </w:rPr>
              <w:t>期望藉由網路，將這些議題以活潑有趣的影像方式傳達，提高民眾對議題的關心，促進反思或討論的發生，進而為社會帶來改變。</w:t>
            </w:r>
          </w:p>
        </w:tc>
        <w:tc>
          <w:tcPr>
            <w:tcW w:w="3844" w:type="dxa"/>
            <w:gridSpan w:val="2"/>
            <w:vAlign w:val="center"/>
          </w:tcPr>
          <w:p w:rsidR="00347677" w:rsidRPr="00161DA8" w:rsidRDefault="00485C22" w:rsidP="00601F64">
            <w:pPr>
              <w:adjustRightInd w:val="0"/>
              <w:snapToGrid w:val="0"/>
              <w:spacing w:line="240" w:lineRule="atLeast"/>
              <w:ind w:leftChars="-20" w:left="-48" w:rightChars="-15" w:right="-36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簡要說明計畫與性別有關之現況問題與需求。</w:t>
            </w:r>
          </w:p>
        </w:tc>
      </w:tr>
      <w:tr w:rsidR="00BA1259" w:rsidRPr="00161DA8" w:rsidTr="005E7CF9">
        <w:trPr>
          <w:cantSplit/>
          <w:trHeight w:val="1626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601F64" w:rsidRPr="00161DA8" w:rsidRDefault="00601F64" w:rsidP="00601F64">
            <w:pPr>
              <w:spacing w:before="60" w:after="60" w:line="300" w:lineRule="exact"/>
              <w:ind w:left="382" w:hangingChars="159" w:hanging="38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4-2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和本計畫相關之性別統計與性別</w:t>
            </w:r>
            <w:r w:rsidRPr="00161DA8">
              <w:rPr>
                <w:rFonts w:ascii="Calibri" w:eastAsia="新細明體" w:hAnsi="Calibri" w:cs="Gautami"/>
                <w:b/>
                <w:bCs/>
                <w:color w:val="000000" w:themeColor="text1"/>
                <w:szCs w:val="24"/>
              </w:rPr>
              <w:t>分析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0D5BC7" w:rsidRDefault="000D5BC7" w:rsidP="000D5BC7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 w:rsidRPr="00817A41">
              <w:rPr>
                <w:rFonts w:ascii="Calibri" w:hAnsi="Calibri" w:hint="eastAsia"/>
                <w:color w:val="000000" w:themeColor="text1"/>
              </w:rPr>
              <w:t>性別相關議題十分多元，以各行業男女就業人口分布為例，根據行政院性別平等會</w:t>
            </w:r>
            <w:r w:rsidRPr="00817A41">
              <w:rPr>
                <w:rFonts w:ascii="Calibri" w:hAnsi="Calibri" w:hint="eastAsia"/>
                <w:color w:val="000000" w:themeColor="text1"/>
              </w:rPr>
              <w:t>107</w:t>
            </w:r>
            <w:r w:rsidRPr="00817A41">
              <w:rPr>
                <w:rFonts w:ascii="Calibri" w:hAnsi="Calibri" w:hint="eastAsia"/>
                <w:color w:val="000000" w:themeColor="text1"/>
              </w:rPr>
              <w:t>年的統計數字，男性在農、林、漁、牧、工、礦、營建工程及運輸業的從業人數皆遠高於女性；女性在金融保險、教育及醫療照護業的從業人數較明顯高於男性，說明國人在選擇行業方面，符合傳統對於男女合適產業的想像，而這正是對於性別的刻板印象。</w:t>
            </w:r>
          </w:p>
          <w:p w:rsidR="00601F64" w:rsidRPr="000D5BC7" w:rsidRDefault="000D5BC7" w:rsidP="000D5BC7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 w:rsidRPr="000D5BC7">
              <w:rPr>
                <w:rFonts w:ascii="Calibri" w:hAnsi="Calibri" w:hint="eastAsia"/>
                <w:color w:val="000000" w:themeColor="text1"/>
              </w:rPr>
              <w:t>如何在影片中傳達男女平等的觀念、破除性別刻板印象，進而引起民眾對於現狀的反思或討論，將是本計畫的重點之一。</w:t>
            </w:r>
          </w:p>
        </w:tc>
        <w:tc>
          <w:tcPr>
            <w:tcW w:w="3844" w:type="dxa"/>
            <w:gridSpan w:val="2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Chars="4" w:left="207" w:rightChars="-10" w:right="-24" w:hangingChars="82" w:hanging="197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1.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透過相關資料庫、圖書等各種途徑蒐集既有的性別統計與性別分析。</w:t>
            </w:r>
          </w:p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Chars="4" w:left="207" w:rightChars="-10" w:right="-24" w:hangingChars="82" w:hanging="197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2.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性別統計與性別分析應儘量顧及不同性別、性傾向及性別認同者之年齡、族群、地區等面向。</w:t>
            </w:r>
          </w:p>
        </w:tc>
      </w:tr>
      <w:tr w:rsidR="00BA1259" w:rsidRPr="00161DA8" w:rsidTr="005E7CF9">
        <w:trPr>
          <w:cantSplit/>
          <w:trHeight w:val="1408"/>
        </w:trPr>
        <w:tc>
          <w:tcPr>
            <w:tcW w:w="2901" w:type="dxa"/>
            <w:gridSpan w:val="6"/>
            <w:shd w:val="clear" w:color="auto" w:fill="auto"/>
            <w:vAlign w:val="center"/>
          </w:tcPr>
          <w:p w:rsidR="00601F64" w:rsidRPr="00161DA8" w:rsidRDefault="00601F64" w:rsidP="00601F64">
            <w:pPr>
              <w:spacing w:before="60" w:after="60" w:line="300" w:lineRule="exact"/>
              <w:ind w:left="382" w:hangingChars="159" w:hanging="38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lastRenderedPageBreak/>
              <w:t>4-3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建議未來需要強化與本計畫相關的性別統計與性別分析及其方法</w:t>
            </w:r>
          </w:p>
        </w:tc>
        <w:tc>
          <w:tcPr>
            <w:tcW w:w="3411" w:type="dxa"/>
            <w:gridSpan w:val="10"/>
            <w:shd w:val="clear" w:color="auto" w:fill="auto"/>
            <w:vAlign w:val="center"/>
          </w:tcPr>
          <w:p w:rsidR="000D5BC7" w:rsidRPr="00CF5743" w:rsidRDefault="000D5BC7" w:rsidP="000D5BC7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可嘗試於影片播放平臺統計特定影片觸及對象的性別比例，藉此分析不同性別對於不同議題影片的接受度，並據此調整影片內容。</w:t>
            </w:r>
          </w:p>
          <w:p w:rsidR="00601F64" w:rsidRPr="000D5BC7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說明需要強化的性別統計類別及方法，包括由業務單位釐清性別統計的定義及範圍，向主計單位建議分析項目或編列經費委託調查，並提出確保執行的方法。</w:t>
            </w:r>
          </w:p>
        </w:tc>
      </w:tr>
      <w:tr w:rsidR="00BA1259" w:rsidRPr="00161DA8" w:rsidTr="005E7CF9">
        <w:trPr>
          <w:trHeight w:val="834"/>
        </w:trPr>
        <w:tc>
          <w:tcPr>
            <w:tcW w:w="2901" w:type="dxa"/>
            <w:gridSpan w:val="6"/>
            <w:vAlign w:val="center"/>
          </w:tcPr>
          <w:p w:rsidR="00601F64" w:rsidRPr="00161DA8" w:rsidRDefault="00601F64" w:rsidP="00601F64">
            <w:pPr>
              <w:spacing w:before="60" w:after="60" w:line="300" w:lineRule="exact"/>
              <w:ind w:left="435" w:hangingChars="181" w:hanging="435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伍、計畫目標概述（併同敘明性別目標）</w:t>
            </w:r>
          </w:p>
        </w:tc>
        <w:tc>
          <w:tcPr>
            <w:tcW w:w="7255" w:type="dxa"/>
            <w:gridSpan w:val="12"/>
            <w:vAlign w:val="center"/>
          </w:tcPr>
          <w:p w:rsidR="000D5BC7" w:rsidRPr="000D5BC7" w:rsidRDefault="000D5BC7" w:rsidP="000D5BC7">
            <w:pPr>
              <w:pStyle w:val="a3"/>
              <w:numPr>
                <w:ilvl w:val="0"/>
                <w:numId w:val="40"/>
              </w:numPr>
              <w:spacing w:line="320" w:lineRule="exact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 w:rsidRPr="00AE1BFF">
              <w:rPr>
                <w:rFonts w:ascii="Calibri" w:hAnsi="Calibri" w:hint="eastAsia"/>
                <w:color w:val="000000" w:themeColor="text1"/>
              </w:rPr>
              <w:t>計畫目標：</w:t>
            </w:r>
            <w:r w:rsidRPr="00AE1BFF">
              <w:rPr>
                <w:rFonts w:asciiTheme="minorEastAsia" w:hAnsiTheme="minorEastAsia" w:hint="eastAsia"/>
                <w:szCs w:val="24"/>
              </w:rPr>
              <w:t>預計</w:t>
            </w:r>
            <w:r>
              <w:rPr>
                <w:rFonts w:asciiTheme="minorEastAsia" w:hAnsiTheme="minorEastAsia" w:hint="eastAsia"/>
                <w:szCs w:val="24"/>
              </w:rPr>
              <w:t>針對職人觀點</w:t>
            </w:r>
            <w:r w:rsidRPr="00AE1BFF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公共參與觀點及</w:t>
            </w:r>
            <w:r w:rsidRPr="00AE1BFF">
              <w:rPr>
                <w:rFonts w:asciiTheme="minorEastAsia" w:hAnsiTheme="minorEastAsia" w:hint="eastAsia"/>
                <w:szCs w:val="24"/>
              </w:rPr>
              <w:t>青世代觀點</w:t>
            </w:r>
            <w:r>
              <w:rPr>
                <w:rFonts w:asciiTheme="minorEastAsia" w:hAnsiTheme="minorEastAsia" w:hint="eastAsia"/>
                <w:szCs w:val="24"/>
              </w:rPr>
              <w:t>三大主題，</w:t>
            </w:r>
            <w:r w:rsidRPr="00AE1BFF">
              <w:rPr>
                <w:rFonts w:asciiTheme="minorEastAsia" w:hAnsiTheme="minorEastAsia" w:hint="eastAsia"/>
                <w:szCs w:val="24"/>
              </w:rPr>
              <w:t>拍攝至少50支影像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601F64" w:rsidRPr="000D5BC7" w:rsidRDefault="000D5BC7" w:rsidP="000D5BC7">
            <w:pPr>
              <w:pStyle w:val="a3"/>
              <w:numPr>
                <w:ilvl w:val="0"/>
                <w:numId w:val="40"/>
              </w:numPr>
              <w:spacing w:line="320" w:lineRule="exact"/>
              <w:ind w:leftChars="0"/>
              <w:jc w:val="both"/>
              <w:rPr>
                <w:rFonts w:ascii="Calibri" w:hAnsi="Calibri"/>
                <w:color w:val="000000" w:themeColor="text1"/>
              </w:rPr>
            </w:pPr>
            <w:r w:rsidRPr="000D5BC7">
              <w:rPr>
                <w:rFonts w:ascii="Calibri" w:hAnsi="Calibri" w:hint="eastAsia"/>
                <w:color w:val="000000" w:themeColor="text1"/>
              </w:rPr>
              <w:t>性別目標：至少拍攝與性別議題相關之影像</w:t>
            </w:r>
            <w:r w:rsidRPr="000D5BC7">
              <w:rPr>
                <w:rFonts w:ascii="Calibri" w:hAnsi="Calibri" w:hint="eastAsia"/>
                <w:color w:val="000000" w:themeColor="text1"/>
              </w:rPr>
              <w:t>2</w:t>
            </w:r>
            <w:r w:rsidRPr="000D5BC7">
              <w:rPr>
                <w:rFonts w:ascii="Calibri" w:hAnsi="Calibri" w:hint="eastAsia"/>
                <w:color w:val="000000" w:themeColor="text1"/>
              </w:rPr>
              <w:t>支。</w:t>
            </w:r>
          </w:p>
        </w:tc>
      </w:tr>
      <w:tr w:rsidR="00BA1259" w:rsidRPr="00161DA8" w:rsidTr="005E7CF9">
        <w:trPr>
          <w:trHeight w:val="1871"/>
        </w:trPr>
        <w:tc>
          <w:tcPr>
            <w:tcW w:w="2901" w:type="dxa"/>
            <w:gridSpan w:val="6"/>
            <w:vAlign w:val="center"/>
          </w:tcPr>
          <w:p w:rsidR="00601F64" w:rsidRPr="00161DA8" w:rsidRDefault="00601F64" w:rsidP="00601F64">
            <w:pPr>
              <w:spacing w:before="60" w:after="60" w:line="300" w:lineRule="exact"/>
              <w:ind w:left="507" w:hangingChars="211" w:hanging="507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陸、性別參與情形或改善方法（計畫於研擬、決策、發展、執行之過程中，不同性別者之參與機制，如計畫相關組織或機制，性別比例是否達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1/3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）</w:t>
            </w:r>
          </w:p>
        </w:tc>
        <w:tc>
          <w:tcPr>
            <w:tcW w:w="7255" w:type="dxa"/>
            <w:gridSpan w:val="12"/>
            <w:vAlign w:val="center"/>
          </w:tcPr>
          <w:p w:rsidR="00601F64" w:rsidRPr="00161DA8" w:rsidRDefault="000D5BC7" w:rsidP="00601F64">
            <w:pPr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>
              <w:rPr>
                <w:rFonts w:ascii="Calibri" w:hAnsi="Calibri" w:hint="eastAsia"/>
                <w:color w:val="000000" w:themeColor="text1"/>
              </w:rPr>
              <w:t>影片內容應將男女觀點平衡呈現，擬邀請參與拍攝的人員</w:t>
            </w:r>
            <w:r w:rsidRPr="00CF5743">
              <w:rPr>
                <w:rFonts w:asciiTheme="minorEastAsia" w:hAnsiTheme="minorEastAsia" w:hint="eastAsia"/>
                <w:color w:val="000000" w:themeColor="text1"/>
              </w:rPr>
              <w:t>任一性別比不低於1/3。</w:t>
            </w:r>
          </w:p>
        </w:tc>
      </w:tr>
      <w:tr w:rsidR="00BA1259" w:rsidRPr="00161DA8" w:rsidTr="005E7CF9">
        <w:trPr>
          <w:trHeight w:val="748"/>
        </w:trPr>
        <w:tc>
          <w:tcPr>
            <w:tcW w:w="10156" w:type="dxa"/>
            <w:gridSpan w:val="18"/>
            <w:tcBorders>
              <w:top w:val="thickThinSmallGap" w:sz="24" w:space="0" w:color="auto"/>
            </w:tcBorders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="-111" w:rightChars="-45" w:right="-108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柒、受益對象</w:t>
            </w:r>
          </w:p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="57" w:rightChars="7" w:right="17" w:hanging="165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1.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若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7-3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任一指標評定「是」者，應繼續填列「捌、評估內容」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8-9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及「第二部分－程序參與」；如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7-3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皆評定為「否」者，則免填「捌、評估內容」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8-9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，逕填寫「第二部分－程序參與」，惟若經程序參與後，</w:t>
            </w:r>
            <w:r w:rsidRPr="00161DA8" w:rsidDel="0092397F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11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-5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「計畫與性別關聯之程度」評定為「有關」者，則需修正第一部分「柒、受益對象」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7-3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，並補填列「捌、評估內容」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8-9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。</w:t>
            </w:r>
          </w:p>
          <w:p w:rsidR="00601F64" w:rsidRPr="00161DA8" w:rsidRDefault="00601F64" w:rsidP="00601F64">
            <w:pPr>
              <w:adjustRightInd w:val="0"/>
              <w:snapToGrid w:val="0"/>
              <w:spacing w:line="240" w:lineRule="atLeast"/>
              <w:ind w:left="57" w:rightChars="7" w:right="17" w:hanging="165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2.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本項不論評定結果為「是」或「否」，皆需填寫評定原因，應有量化或質化說明，不得僅列示「無涉性別」、「與性別無關」或「性別一律平等」。</w:t>
            </w:r>
          </w:p>
        </w:tc>
      </w:tr>
      <w:tr w:rsidR="00BA1259" w:rsidRPr="00161DA8" w:rsidTr="005E7CF9">
        <w:trPr>
          <w:trHeight w:val="313"/>
        </w:trPr>
        <w:tc>
          <w:tcPr>
            <w:tcW w:w="2064" w:type="dxa"/>
            <w:gridSpan w:val="3"/>
            <w:vMerge w:val="restart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jc w:val="center"/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1270" w:type="dxa"/>
            <w:gridSpan w:val="7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ind w:leftChars="-32" w:left="390" w:right="-114" w:hangingChars="212" w:hanging="467"/>
              <w:jc w:val="center"/>
              <w:rPr>
                <w:rFonts w:ascii="Calibri" w:eastAsia="新細明體" w:hAnsi="Calibri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 w:val="22"/>
                <w:szCs w:val="24"/>
              </w:rPr>
              <w:t>評定結果</w:t>
            </w:r>
          </w:p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ind w:leftChars="-32" w:left="389" w:right="-114" w:hangingChars="212" w:hanging="466"/>
              <w:jc w:val="center"/>
              <w:rPr>
                <w:rFonts w:ascii="Calibri" w:eastAsia="新細明體" w:hAnsi="Calibri" w:cs="Times New Roman"/>
                <w:bCs/>
                <w:color w:val="000000" w:themeColor="text1"/>
                <w:sz w:val="22"/>
                <w:szCs w:val="24"/>
              </w:rPr>
            </w:pPr>
            <w:r w:rsidRPr="00161DA8">
              <w:rPr>
                <w:rFonts w:ascii="Calibri" w:eastAsia="新細明體" w:hAnsi="Calibri" w:cs="Times New Roman"/>
                <w:bCs/>
                <w:color w:val="000000" w:themeColor="text1"/>
                <w:sz w:val="22"/>
                <w:szCs w:val="24"/>
              </w:rPr>
              <w:t>(</w:t>
            </w:r>
            <w:r w:rsidRPr="00161DA8">
              <w:rPr>
                <w:rFonts w:ascii="Calibri" w:eastAsia="新細明體" w:hAnsi="Calibri" w:cs="Times New Roman"/>
                <w:bCs/>
                <w:color w:val="000000" w:themeColor="text1"/>
                <w:sz w:val="22"/>
                <w:szCs w:val="24"/>
              </w:rPr>
              <w:t>請勾選</w:t>
            </w:r>
            <w:r w:rsidRPr="00161DA8">
              <w:rPr>
                <w:rFonts w:ascii="Calibri" w:eastAsia="新細明體" w:hAnsi="Calibri" w:cs="Times New Roman"/>
                <w:bCs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601F64" w:rsidRPr="00161DA8" w:rsidRDefault="00601F64" w:rsidP="00601F64">
            <w:pPr>
              <w:spacing w:line="260" w:lineRule="exact"/>
              <w:ind w:left="252" w:hangingChars="105" w:hanging="252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評定原因</w:t>
            </w:r>
          </w:p>
        </w:tc>
        <w:tc>
          <w:tcPr>
            <w:tcW w:w="3893" w:type="dxa"/>
            <w:gridSpan w:val="4"/>
            <w:vMerge w:val="restart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jc w:val="center"/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備　註</w:t>
            </w:r>
          </w:p>
        </w:tc>
      </w:tr>
      <w:tr w:rsidR="00BA1259" w:rsidRPr="00161DA8" w:rsidTr="005E7CF9">
        <w:trPr>
          <w:trHeight w:val="312"/>
        </w:trPr>
        <w:tc>
          <w:tcPr>
            <w:tcW w:w="2064" w:type="dxa"/>
            <w:gridSpan w:val="3"/>
            <w:vMerge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ind w:left="432" w:hangingChars="180" w:hanging="432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ind w:left="432" w:hangingChars="180" w:hanging="432"/>
              <w:jc w:val="center"/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是</w:t>
            </w:r>
          </w:p>
        </w:tc>
        <w:tc>
          <w:tcPr>
            <w:tcW w:w="653" w:type="dxa"/>
            <w:gridSpan w:val="5"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ind w:left="432" w:hangingChars="180" w:hanging="432"/>
              <w:jc w:val="center"/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否</w:t>
            </w:r>
          </w:p>
        </w:tc>
        <w:tc>
          <w:tcPr>
            <w:tcW w:w="2929" w:type="dxa"/>
            <w:gridSpan w:val="4"/>
            <w:vMerge/>
            <w:vAlign w:val="center"/>
          </w:tcPr>
          <w:p w:rsidR="00601F64" w:rsidRPr="00161DA8" w:rsidRDefault="00601F64" w:rsidP="00601F64">
            <w:pPr>
              <w:adjustRightInd w:val="0"/>
              <w:snapToGrid w:val="0"/>
              <w:spacing w:line="260" w:lineRule="exact"/>
              <w:ind w:left="432" w:hangingChars="180" w:hanging="43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893" w:type="dxa"/>
            <w:gridSpan w:val="4"/>
            <w:vMerge/>
            <w:vAlign w:val="center"/>
          </w:tcPr>
          <w:p w:rsidR="00601F64" w:rsidRPr="00161DA8" w:rsidRDefault="00601F64" w:rsidP="00601F64">
            <w:pPr>
              <w:spacing w:line="260" w:lineRule="exact"/>
              <w:ind w:left="252" w:hangingChars="105" w:hanging="25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</w:p>
        </w:tc>
      </w:tr>
      <w:tr w:rsidR="000D5BC7" w:rsidRPr="00161DA8" w:rsidTr="005E7CF9">
        <w:trPr>
          <w:trHeight w:val="1159"/>
        </w:trPr>
        <w:tc>
          <w:tcPr>
            <w:tcW w:w="2064" w:type="dxa"/>
            <w:gridSpan w:val="3"/>
            <w:vAlign w:val="center"/>
          </w:tcPr>
          <w:p w:rsidR="000D5BC7" w:rsidRPr="00161DA8" w:rsidRDefault="000D5BC7" w:rsidP="000D5BC7">
            <w:pPr>
              <w:spacing w:before="60" w:after="60" w:line="300" w:lineRule="exact"/>
              <w:ind w:left="452" w:hangingChars="188" w:hanging="452"/>
              <w:jc w:val="both"/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  <w:t xml:space="preserve">7-1 </w:t>
            </w:r>
            <w:r w:rsidRPr="00161DA8"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  <w:t>以特定性別、性傾向或性別認同者為受益對象</w:t>
            </w:r>
          </w:p>
        </w:tc>
        <w:tc>
          <w:tcPr>
            <w:tcW w:w="617" w:type="dxa"/>
            <w:gridSpan w:val="2"/>
            <w:vAlign w:val="center"/>
          </w:tcPr>
          <w:p w:rsidR="000D5BC7" w:rsidRPr="00BA7F70" w:rsidRDefault="000D5BC7" w:rsidP="000D5BC7">
            <w:pPr>
              <w:jc w:val="both"/>
              <w:rPr>
                <w:rFonts w:ascii="Calibri" w:hAnsi="Calibri" w:cs="Gautami"/>
                <w:color w:val="000000" w:themeColor="text1"/>
                <w:sz w:val="22"/>
              </w:rPr>
            </w:pPr>
          </w:p>
        </w:tc>
        <w:tc>
          <w:tcPr>
            <w:tcW w:w="653" w:type="dxa"/>
            <w:gridSpan w:val="5"/>
            <w:vAlign w:val="center"/>
          </w:tcPr>
          <w:p w:rsidR="000D5BC7" w:rsidRPr="00BA7F70" w:rsidRDefault="000D5BC7" w:rsidP="000D5BC7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sym w:font="Wingdings 2" w:char="F050"/>
            </w:r>
          </w:p>
        </w:tc>
        <w:tc>
          <w:tcPr>
            <w:tcW w:w="2929" w:type="dxa"/>
            <w:gridSpan w:val="4"/>
            <w:vAlign w:val="center"/>
          </w:tcPr>
          <w:p w:rsidR="000D5BC7" w:rsidRPr="00161DA8" w:rsidRDefault="000D5BC7" w:rsidP="000D5BC7">
            <w:pPr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hAnsi="Calibri" w:hint="eastAsia"/>
                <w:color w:val="000000" w:themeColor="text1"/>
              </w:rPr>
              <w:t>透過網路以影片方式傳遞訊息，並無設定特定性別為受益對象。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如受益對象以男性或女性為主，或以同性戀、異性戀或雙性戀為主，或個人自認屬於男性或女性者，請評定為「是」。</w:t>
            </w:r>
          </w:p>
        </w:tc>
      </w:tr>
      <w:tr w:rsidR="000D5BC7" w:rsidRPr="00161DA8" w:rsidTr="005E7CF9">
        <w:trPr>
          <w:trHeight w:val="2099"/>
        </w:trPr>
        <w:tc>
          <w:tcPr>
            <w:tcW w:w="2064" w:type="dxa"/>
            <w:gridSpan w:val="3"/>
            <w:vAlign w:val="center"/>
          </w:tcPr>
          <w:p w:rsidR="000D5BC7" w:rsidRPr="00161DA8" w:rsidRDefault="000D5BC7" w:rsidP="000D5BC7">
            <w:pPr>
              <w:spacing w:before="60" w:after="60" w:line="300" w:lineRule="exact"/>
              <w:ind w:left="452" w:hangingChars="188" w:hanging="452"/>
              <w:jc w:val="both"/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  <w:t>7-2</w:t>
            </w:r>
            <w:r w:rsidRPr="00161DA8"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  <w:t>受</w:t>
            </w:r>
            <w:r w:rsidRPr="00161DA8">
              <w:rPr>
                <w:rFonts w:ascii="Calibri" w:eastAsia="新細明體" w:hAnsi="Calibri" w:cs="Gautami"/>
                <w:b/>
                <w:bCs/>
                <w:color w:val="000000" w:themeColor="text1"/>
                <w:szCs w:val="24"/>
              </w:rPr>
              <w:t>益對象無區別，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但計畫內容</w:t>
            </w:r>
            <w:r w:rsidRPr="00161DA8">
              <w:rPr>
                <w:rFonts w:ascii="Calibri" w:eastAsia="新細明體" w:hAnsi="Calibri" w:cs="Gautami"/>
                <w:b/>
                <w:bCs/>
                <w:color w:val="000000" w:themeColor="text1"/>
                <w:szCs w:val="24"/>
              </w:rPr>
              <w:t>涉及一般</w:t>
            </w:r>
            <w:r w:rsidRPr="00161DA8"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  <w:t>社會</w:t>
            </w:r>
            <w:r w:rsidRPr="00161DA8">
              <w:rPr>
                <w:rFonts w:ascii="Calibri" w:eastAsia="新細明體" w:hAnsi="Calibri" w:cs="Gautami"/>
                <w:b/>
                <w:bCs/>
                <w:color w:val="000000" w:themeColor="text1"/>
                <w:szCs w:val="24"/>
              </w:rPr>
              <w:t>認知既存的性別偏見，或統計資料顯示性別比例差距過大者</w:t>
            </w:r>
          </w:p>
        </w:tc>
        <w:tc>
          <w:tcPr>
            <w:tcW w:w="617" w:type="dxa"/>
            <w:gridSpan w:val="2"/>
            <w:vAlign w:val="center"/>
          </w:tcPr>
          <w:p w:rsidR="000D5BC7" w:rsidRPr="000B56DA" w:rsidRDefault="000D5BC7" w:rsidP="000D5BC7">
            <w:pPr>
              <w:jc w:val="both"/>
              <w:rPr>
                <w:rFonts w:ascii="Calibri" w:hAnsi="Calibri" w:cs="Gautami"/>
                <w:b/>
                <w:bCs/>
                <w:color w:val="C00000"/>
              </w:rPr>
            </w:pPr>
            <w:r w:rsidRPr="00440D6C">
              <w:rPr>
                <w:rFonts w:ascii="Calibri" w:hAnsi="Calibri" w:cs="Gautami"/>
                <w:b/>
                <w:bCs/>
              </w:rPr>
              <w:sym w:font="Wingdings 2" w:char="F050"/>
            </w:r>
          </w:p>
        </w:tc>
        <w:tc>
          <w:tcPr>
            <w:tcW w:w="653" w:type="dxa"/>
            <w:gridSpan w:val="5"/>
            <w:vAlign w:val="center"/>
          </w:tcPr>
          <w:p w:rsidR="000D5BC7" w:rsidRPr="00BA7F70" w:rsidRDefault="000D5BC7" w:rsidP="000D5BC7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929" w:type="dxa"/>
            <w:gridSpan w:val="4"/>
            <w:vAlign w:val="center"/>
          </w:tcPr>
          <w:p w:rsidR="000D5BC7" w:rsidRPr="00161DA8" w:rsidRDefault="000D5BC7" w:rsidP="000D5BC7">
            <w:pPr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hAnsi="Calibri" w:hint="eastAsia"/>
                <w:color w:val="000000" w:themeColor="text1"/>
              </w:rPr>
              <w:t>職人觀點與青世代觀點影片較可能涉及性別偏見或性別刻板印象。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如受益對象雖未限於特定性別人口群，但計畫內容涉及性別偏見、性別比例差距或隔離等之可能性者，請評定為「是」。</w:t>
            </w:r>
          </w:p>
        </w:tc>
      </w:tr>
      <w:tr w:rsidR="000D5BC7" w:rsidRPr="00161DA8" w:rsidTr="005E7CF9">
        <w:trPr>
          <w:trHeight w:val="1846"/>
        </w:trPr>
        <w:tc>
          <w:tcPr>
            <w:tcW w:w="2064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0D5BC7" w:rsidRPr="00161DA8" w:rsidRDefault="000D5BC7" w:rsidP="000D5BC7">
            <w:pPr>
              <w:spacing w:before="60" w:after="60" w:line="300" w:lineRule="exact"/>
              <w:ind w:left="452" w:hangingChars="188" w:hanging="452"/>
              <w:jc w:val="both"/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Gautami"/>
                <w:b/>
                <w:color w:val="000000" w:themeColor="text1"/>
                <w:szCs w:val="24"/>
              </w:rPr>
              <w:lastRenderedPageBreak/>
              <w:t xml:space="preserve">7-3 </w:t>
            </w:r>
            <w:r w:rsidRPr="00161DA8">
              <w:rPr>
                <w:rFonts w:ascii="Calibri" w:eastAsia="新細明體" w:hAnsi="Calibri" w:cs="Gautami"/>
                <w:b/>
                <w:bCs/>
                <w:color w:val="000000" w:themeColor="text1"/>
                <w:szCs w:val="24"/>
              </w:rPr>
              <w:t>公共建設之空間規劃與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工程設計</w:t>
            </w:r>
            <w:r w:rsidRPr="00161DA8">
              <w:rPr>
                <w:rFonts w:ascii="Calibri" w:eastAsia="新細明體" w:hAnsi="Calibri" w:cs="Gautami"/>
                <w:b/>
                <w:bCs/>
                <w:color w:val="000000" w:themeColor="text1"/>
                <w:szCs w:val="24"/>
              </w:rPr>
              <w:t>涉及對不同性別、性傾向或性別認同者權益相關者</w:t>
            </w:r>
          </w:p>
        </w:tc>
        <w:tc>
          <w:tcPr>
            <w:tcW w:w="61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D5BC7" w:rsidRPr="00BA7F70" w:rsidRDefault="000D5BC7" w:rsidP="000D5BC7">
            <w:pPr>
              <w:jc w:val="both"/>
              <w:rPr>
                <w:rFonts w:ascii="Calibri" w:hAnsi="Calibri" w:cs="Gautami"/>
                <w:color w:val="000000" w:themeColor="text1"/>
                <w:sz w:val="22"/>
              </w:rPr>
            </w:pPr>
          </w:p>
        </w:tc>
        <w:tc>
          <w:tcPr>
            <w:tcW w:w="65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0D5BC7" w:rsidRPr="00BA7F70" w:rsidRDefault="000D5BC7" w:rsidP="000D5BC7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sym w:font="Wingdings 2" w:char="F050"/>
            </w:r>
          </w:p>
        </w:tc>
        <w:tc>
          <w:tcPr>
            <w:tcW w:w="2929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0D5BC7" w:rsidRPr="00161DA8" w:rsidRDefault="000D5BC7" w:rsidP="000D5BC7">
            <w:pPr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hAnsi="Calibri" w:hint="eastAsia"/>
                <w:color w:val="000000" w:themeColor="text1"/>
              </w:rPr>
              <w:t>本計畫以網路影片為主要執行方式，與公共建設較無關聯。</w:t>
            </w:r>
          </w:p>
        </w:tc>
        <w:tc>
          <w:tcPr>
            <w:tcW w:w="3893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如公共建設之空間規劃與工程設計涉及不同性別、性傾向或性別認同者使用便利及合理性、區位安全性，或消除空間死角，或考慮特殊使用需求者之可能性者，請評定為「是」。</w:t>
            </w:r>
          </w:p>
        </w:tc>
      </w:tr>
      <w:tr w:rsidR="000D5BC7" w:rsidRPr="00161DA8" w:rsidTr="005E7CF9">
        <w:trPr>
          <w:trHeight w:val="1135"/>
          <w:tblHeader/>
        </w:trPr>
        <w:tc>
          <w:tcPr>
            <w:tcW w:w="10156" w:type="dxa"/>
            <w:gridSpan w:val="18"/>
            <w:tcBorders>
              <w:top w:val="thickThinSmallGap" w:sz="24" w:space="0" w:color="auto"/>
            </w:tcBorders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6" w:left="-11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捌、評估內容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6" w:left="-11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（一）資源與過程</w:t>
            </w:r>
          </w:p>
        </w:tc>
      </w:tr>
      <w:tr w:rsidR="000D5BC7" w:rsidRPr="00161DA8" w:rsidTr="005E7CF9">
        <w:trPr>
          <w:cantSplit/>
          <w:trHeight w:val="302"/>
        </w:trPr>
        <w:tc>
          <w:tcPr>
            <w:tcW w:w="3347" w:type="dxa"/>
            <w:gridSpan w:val="11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15" w:left="346" w:hangingChars="159" w:hanging="382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2916" w:type="dxa"/>
            <w:gridSpan w:val="3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說　明</w:t>
            </w:r>
          </w:p>
        </w:tc>
        <w:tc>
          <w:tcPr>
            <w:tcW w:w="3893" w:type="dxa"/>
            <w:gridSpan w:val="4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備　註</w:t>
            </w:r>
          </w:p>
        </w:tc>
      </w:tr>
      <w:tr w:rsidR="000D5BC7" w:rsidRPr="00161DA8" w:rsidTr="005E7CF9">
        <w:trPr>
          <w:cantSplit/>
          <w:trHeight w:val="302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8-1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經費配置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：計畫如何編列或調整預算配置，以回應性別需求與達成性別目標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0D5BC7" w:rsidRPr="00161DA8" w:rsidRDefault="0034778E" w:rsidP="000D5BC7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34778E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本計畫之經費預算配置及於任一性別，有關經費並已涵蓋落實性別平權之宣導事項。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說明該計畫所編列經費如何針對性別差異，回應性別需求。</w:t>
            </w:r>
          </w:p>
        </w:tc>
      </w:tr>
      <w:tr w:rsidR="000D5BC7" w:rsidRPr="00161DA8" w:rsidTr="005E7CF9">
        <w:trPr>
          <w:cantSplit/>
          <w:trHeight w:val="611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8-2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執行策略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：計畫如何縮小不同性別、性傾向或性別認同者差異之迫切性與需求性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0D5BC7" w:rsidRPr="00161DA8" w:rsidRDefault="00FA5FD5" w:rsidP="00072CFD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多元化的討論議題透過影像方式呈現，</w:t>
            </w:r>
            <w:r w:rsidR="00072CFD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並設計不同主題進行拍攝，讓社會大眾更加了解青年想法與意見，不同性別、不同領域、不同年齡皆可以表達不同想法創造一個共好的社會。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計畫如何設計執行策略，以回應性別需求與達成性別目標。</w:t>
            </w:r>
          </w:p>
        </w:tc>
      </w:tr>
      <w:tr w:rsidR="000D5BC7" w:rsidRPr="00161DA8" w:rsidTr="005E7CF9">
        <w:trPr>
          <w:cantSplit/>
          <w:trHeight w:val="720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8-3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宣導傳播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：計畫宣導方式如何顧及弱勢性別資訊獲取能力或使用習慣之差異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0D5BC7" w:rsidRPr="00161DA8" w:rsidRDefault="00FA5FD5" w:rsidP="000D5BC7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影片宣傳多運用網路平台進行發佈，無限制特定對象或性別皆可獲知內容。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說明傳佈訊息給目標對象所採用的方式，是否針對不同背景的目標對象採取不同傳播方法的設計。</w:t>
            </w:r>
          </w:p>
        </w:tc>
      </w:tr>
      <w:tr w:rsidR="000D5BC7" w:rsidRPr="00161DA8" w:rsidTr="005E7CF9">
        <w:trPr>
          <w:cantSplit/>
          <w:trHeight w:val="720"/>
        </w:trPr>
        <w:tc>
          <w:tcPr>
            <w:tcW w:w="3347" w:type="dxa"/>
            <w:gridSpan w:val="11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35" w:hangingChars="190" w:hanging="456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8-4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性別友善措施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：搭配其他對不同性別、性傾向或性別認同者之友善措施或方案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0D5BC7" w:rsidRPr="00161DA8" w:rsidRDefault="00FA5FD5" w:rsidP="00072CFD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透過網路行銷方式，對所有性別皆友善，影片拍攝也針對不同族群與性別，進行意見聲音蒐集與討論，讓不同立場、不同性別之受眾，</w:t>
            </w:r>
            <w:r w:rsidR="00072CFD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皆可</w:t>
            </w: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看見</w:t>
            </w:r>
            <w:r w:rsidR="00072CFD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亦皆</w:t>
            </w: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能參與發聲。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說明計畫之性別友善措施或方案。</w:t>
            </w:r>
          </w:p>
        </w:tc>
      </w:tr>
      <w:tr w:rsidR="000D5BC7" w:rsidRPr="00161DA8" w:rsidTr="005E7CF9">
        <w:trPr>
          <w:trHeight w:val="417"/>
        </w:trPr>
        <w:tc>
          <w:tcPr>
            <w:tcW w:w="10156" w:type="dxa"/>
            <w:gridSpan w:val="18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6" w:left="-11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br w:type="page"/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（二）效益評估</w:t>
            </w:r>
          </w:p>
        </w:tc>
      </w:tr>
      <w:tr w:rsidR="000D5BC7" w:rsidRPr="00161DA8" w:rsidTr="005E7CF9">
        <w:trPr>
          <w:cantSplit/>
          <w:trHeight w:val="353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15" w:left="346" w:hangingChars="159" w:hanging="382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項　目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說　明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44" w:left="72" w:rightChars="-45" w:right="-108" w:hangingChars="74" w:hanging="178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bCs/>
                <w:color w:val="000000" w:themeColor="text1"/>
                <w:szCs w:val="24"/>
              </w:rPr>
              <w:t>備　註</w:t>
            </w:r>
          </w:p>
        </w:tc>
      </w:tr>
      <w:tr w:rsidR="000D5BC7" w:rsidRPr="00161DA8" w:rsidTr="005E7CF9">
        <w:trPr>
          <w:cantSplit/>
          <w:trHeight w:val="1211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lastRenderedPageBreak/>
              <w:t>8-5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落實法規政策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：計畫符合相關法規政策之情形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845D04" w:rsidRPr="00161DA8" w:rsidRDefault="00845D04" w:rsidP="00845D0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本案</w:t>
            </w:r>
            <w:r w:rsidR="00672177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所有規劃不涉性別限制，</w:t>
            </w:r>
            <w:r w:rsidRPr="00845D04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包括不同性別（性傾向／性別認同）者，符合</w:t>
            </w:r>
            <w:r w:rsidRPr="00845D04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CEDAW</w:t>
            </w:r>
            <w:r w:rsidRPr="00845D04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公約第一</w:t>
            </w: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條載明，消除對婦女一切形式歧視並落實保障性別人權及促進性別平等，歡迎所有民眾於社群平台共同參與討論。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說明計畫如何落實憲法、法律、性別平等政策綱領、性別主流化政策及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CEDAW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之基本精神，可參考行政院性別平等會網站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(</w:t>
            </w:r>
            <w:hyperlink r:id="rId8" w:history="1">
              <w:r w:rsidRPr="00161DA8">
                <w:rPr>
                  <w:rFonts w:ascii="Calibri" w:eastAsia="新細明體" w:hAnsi="Calibri" w:cs="Times New Roman"/>
                  <w:color w:val="000000" w:themeColor="text1"/>
                  <w:szCs w:val="24"/>
                  <w:u w:val="single"/>
                </w:rPr>
                <w:t>http://www.gec.ey.gov.tw/</w:t>
              </w:r>
            </w:hyperlink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)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。</w:t>
            </w:r>
          </w:p>
        </w:tc>
      </w:tr>
      <w:tr w:rsidR="000D5BC7" w:rsidRPr="00161DA8" w:rsidTr="005E7CF9">
        <w:trPr>
          <w:cantSplit/>
          <w:trHeight w:val="446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8-6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預防或消除性別隔離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：計畫如何預防或消除性別隔離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0D5BC7" w:rsidRPr="00161DA8" w:rsidRDefault="00672177" w:rsidP="000D5BC7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672177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本計畫對參與者或受益對象不設性別限制。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說明計畫如何預防或消除傳統文化對不同性別、性傾向或性別認同者之限制或僵化期待。</w:t>
            </w:r>
          </w:p>
        </w:tc>
      </w:tr>
      <w:tr w:rsidR="000D5BC7" w:rsidRPr="00161DA8" w:rsidTr="005E7CF9">
        <w:trPr>
          <w:cantSplit/>
          <w:trHeight w:val="446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8-7 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平等取得社會資源：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計畫如何提升平等獲取社會資源機會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0D5BC7" w:rsidRPr="00161DA8" w:rsidRDefault="00845D04" w:rsidP="000D5BC7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計畫透過本案拍攝不同領域之職場達人或青年世代族群，</w:t>
            </w:r>
            <w:r w:rsidRPr="00845D04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以提升不同性別參與社會及公共事務之機會與能見度，平等獲取社會資源。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-8" w:left="-9" w:hangingChars="4" w:hanging="1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說明計畫如何提供不同性別、性傾向或性別認同者平等機會獲取社會資源，提升其參與社會及公共事務之機會。</w:t>
            </w:r>
          </w:p>
        </w:tc>
      </w:tr>
      <w:tr w:rsidR="000D5BC7" w:rsidRPr="00161DA8" w:rsidTr="005E7CF9">
        <w:trPr>
          <w:cantSplit/>
          <w:trHeight w:val="446"/>
        </w:trPr>
        <w:tc>
          <w:tcPr>
            <w:tcW w:w="3278" w:type="dxa"/>
            <w:gridSpan w:val="9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8-8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空間與工程效益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：軟硬體的公共空間之空間規劃與工程設計，在空間使用性、安全性、友善性上之具體效益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0D5BC7" w:rsidRPr="00161DA8" w:rsidRDefault="00845D04" w:rsidP="00845D04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本計畫是透過社群軟體發聲，使用者在觀看影片時，不同生理差異並無影響使用性、安全性及友善性。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1.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使用性：兼顧不同生理差異所產生的不同需求。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2.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安全性：消除空間死角、相關安全設施。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3.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友善性：兼顧性別、性傾向或性別認同者之特殊使用需求。</w:t>
            </w:r>
          </w:p>
        </w:tc>
      </w:tr>
      <w:tr w:rsidR="000D5BC7" w:rsidRPr="00161DA8" w:rsidTr="005E7CF9">
        <w:trPr>
          <w:cantSplit/>
          <w:trHeight w:val="835"/>
        </w:trPr>
        <w:tc>
          <w:tcPr>
            <w:tcW w:w="3278" w:type="dxa"/>
            <w:gridSpan w:val="9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33" w:left="521" w:rightChars="-9" w:right="-22" w:hangingChars="184" w:hanging="442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8-9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設立考核指標與機制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：計畫如何設立性別敏感指標，並且透過制度化的機制，以便監督計畫的影響程度</w:t>
            </w:r>
          </w:p>
        </w:tc>
        <w:tc>
          <w:tcPr>
            <w:tcW w:w="2985" w:type="dxa"/>
            <w:gridSpan w:val="5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D5BC7" w:rsidRPr="00161DA8" w:rsidRDefault="00845D04" w:rsidP="000D5BC7">
            <w:pPr>
              <w:adjustRightInd w:val="0"/>
              <w:snapToGrid w:val="0"/>
              <w:jc w:val="both"/>
              <w:rPr>
                <w:rFonts w:ascii="Calibri" w:eastAsia="新細明體" w:hAnsi="Calibri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Calibri" w:eastAsia="新細明體" w:hAnsi="Calibri" w:cs="Times New Roman" w:hint="eastAsia"/>
                <w:color w:val="000000" w:themeColor="text1"/>
                <w:sz w:val="23"/>
                <w:szCs w:val="23"/>
              </w:rPr>
              <w:t>本案影片將上傳至青年事務局所經營之社群平台，如臉書粉絲專頁進行宣傳，透過影片後台點擊數據進行分析，將可獲知</w:t>
            </w:r>
            <w:r w:rsidR="00F93387">
              <w:rPr>
                <w:rFonts w:ascii="Calibri" w:eastAsia="新細明體" w:hAnsi="Calibri" w:cs="Times New Roman" w:hint="eastAsia"/>
                <w:color w:val="000000" w:themeColor="text1"/>
                <w:sz w:val="23"/>
                <w:szCs w:val="23"/>
              </w:rPr>
              <w:t>不同性別、年齡、地區對影片的觀看程度。藉此了解本計畫之影響程度。</w:t>
            </w:r>
          </w:p>
        </w:tc>
        <w:tc>
          <w:tcPr>
            <w:tcW w:w="3893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1.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為衡量性別目標達成情形，計畫如何訂定相關預期績效指標及評估基準。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240" w:lineRule="atLeast"/>
              <w:ind w:leftChars="4" w:left="204" w:hangingChars="81" w:hanging="194"/>
              <w:jc w:val="both"/>
              <w:rPr>
                <w:rFonts w:ascii="Calibri" w:eastAsia="新細明體" w:hAnsi="Calibri" w:cs="Times New Roman"/>
                <w:color w:val="000000" w:themeColor="text1"/>
                <w:sz w:val="23"/>
                <w:szCs w:val="23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2.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說明性別敏感指標，並考量不同性別、性傾向或性別認同者之年齡、族群、地區等面向。</w:t>
            </w:r>
          </w:p>
        </w:tc>
      </w:tr>
      <w:tr w:rsidR="000D5BC7" w:rsidRPr="00161DA8" w:rsidTr="005E7CF9">
        <w:trPr>
          <w:trHeight w:val="606"/>
        </w:trPr>
        <w:tc>
          <w:tcPr>
            <w:tcW w:w="10156" w:type="dxa"/>
            <w:gridSpan w:val="18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C7" w:rsidRPr="00161DA8" w:rsidRDefault="000D5BC7" w:rsidP="000D5BC7">
            <w:pPr>
              <w:spacing w:before="60" w:after="60" w:line="300" w:lineRule="exact"/>
              <w:ind w:left="1670" w:hangingChars="695" w:hanging="1670"/>
              <w:jc w:val="both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玖、評估結果：請填表人依據性別平等專家學者意見之檢視意見提出綜合說明，包括對「第二部分、程序參與」主要意見參採情形、採納意見之計畫調整情形、無法採納意見之理由或替代規劃等。</w:t>
            </w:r>
          </w:p>
        </w:tc>
      </w:tr>
      <w:tr w:rsidR="000D5BC7" w:rsidRPr="00161DA8" w:rsidTr="00FF0C00">
        <w:trPr>
          <w:cantSplit/>
          <w:trHeight w:val="1721"/>
        </w:trPr>
        <w:tc>
          <w:tcPr>
            <w:tcW w:w="241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2" w:left="433" w:rightChars="-45" w:right="-108" w:hangingChars="158" w:hanging="380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9-1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評估結果之綜合說明</w:t>
            </w:r>
          </w:p>
        </w:tc>
        <w:tc>
          <w:tcPr>
            <w:tcW w:w="7746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0D5BC7" w:rsidRPr="00161DA8" w:rsidRDefault="008504F1" w:rsidP="000D5BC7">
            <w:pPr>
              <w:adjustRightInd w:val="0"/>
              <w:snapToGrid w:val="0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依照委員意見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，屆時影片宣傳將配合於本局粉絲專頁及青年有事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Y</w:t>
            </w:r>
            <w:r w:rsidR="00446C37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outube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頻道上架宣傳，並規劃多方宣傳，並且影片拍攝時，於角色性別選擇時將與得標廠商進行討論，以達性別平權之宣導，並評估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CEDAW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置入影片拍攝之可行性。</w:t>
            </w:r>
          </w:p>
        </w:tc>
      </w:tr>
      <w:tr w:rsidR="000D5BC7" w:rsidRPr="00161DA8" w:rsidTr="005E7CF9">
        <w:trPr>
          <w:cantSplit/>
          <w:trHeight w:val="506"/>
        </w:trPr>
        <w:tc>
          <w:tcPr>
            <w:tcW w:w="10156" w:type="dxa"/>
            <w:gridSpan w:val="18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9-2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參採情形</w:t>
            </w:r>
          </w:p>
        </w:tc>
      </w:tr>
      <w:tr w:rsidR="000D5BC7" w:rsidRPr="00161DA8" w:rsidTr="00BA1259">
        <w:trPr>
          <w:cantSplit/>
          <w:trHeight w:val="200"/>
        </w:trPr>
        <w:tc>
          <w:tcPr>
            <w:tcW w:w="5078" w:type="dxa"/>
            <w:gridSpan w:val="12"/>
            <w:shd w:val="clear" w:color="auto" w:fill="auto"/>
          </w:tcPr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專家意見</w:t>
            </w:r>
          </w:p>
        </w:tc>
        <w:tc>
          <w:tcPr>
            <w:tcW w:w="5078" w:type="dxa"/>
            <w:gridSpan w:val="6"/>
            <w:shd w:val="clear" w:color="auto" w:fill="auto"/>
          </w:tcPr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機關參採情形</w:t>
            </w:r>
          </w:p>
        </w:tc>
      </w:tr>
      <w:tr w:rsidR="000D5BC7" w:rsidRPr="00161DA8" w:rsidTr="00BA1259">
        <w:trPr>
          <w:cantSplit/>
          <w:trHeight w:val="200"/>
        </w:trPr>
        <w:tc>
          <w:tcPr>
            <w:tcW w:w="5078" w:type="dxa"/>
            <w:gridSpan w:val="12"/>
            <w:shd w:val="clear" w:color="auto" w:fill="auto"/>
          </w:tcPr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lastRenderedPageBreak/>
              <w:t xml:space="preserve">1. </w:t>
            </w:r>
            <w:r w:rsidRPr="00161DA8">
              <w:rPr>
                <w:rFonts w:hint="eastAsia"/>
                <w:b/>
                <w:color w:val="000000" w:themeColor="text1"/>
              </w:rPr>
              <w:t>本案專業人才培訓部分，目前多以男性居多，應多增加女性參與機會。</w:t>
            </w:r>
          </w:p>
        </w:tc>
        <w:tc>
          <w:tcPr>
            <w:tcW w:w="5078" w:type="dxa"/>
            <w:gridSpan w:val="6"/>
            <w:shd w:val="clear" w:color="auto" w:fill="auto"/>
          </w:tcPr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■參採</w:t>
            </w:r>
          </w:p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(</w:t>
            </w:r>
            <w:r w:rsidRPr="00161DA8">
              <w:rPr>
                <w:rFonts w:hint="eastAsia"/>
                <w:b/>
                <w:color w:val="000000" w:themeColor="text1"/>
                <w:u w:val="single"/>
              </w:rPr>
              <w:t>採納意見後之計畫調整：未來在人才招募與培訓上，積極鼓勵女性投入，並針對相關教育訓練統計性別參與人數之數據</w:t>
            </w:r>
            <w:r w:rsidRPr="00161DA8">
              <w:rPr>
                <w:rFonts w:hint="eastAsia"/>
                <w:b/>
                <w:color w:val="000000" w:themeColor="text1"/>
              </w:rPr>
              <w:t>。</w:t>
            </w:r>
            <w:r w:rsidRPr="00161DA8">
              <w:rPr>
                <w:rFonts w:hint="eastAsia"/>
                <w:b/>
                <w:color w:val="000000" w:themeColor="text1"/>
              </w:rPr>
              <w:t>)</w:t>
            </w:r>
          </w:p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□未參採</w:t>
            </w:r>
          </w:p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(</w:t>
            </w:r>
            <w:r w:rsidRPr="00161DA8">
              <w:rPr>
                <w:rFonts w:hint="eastAsia"/>
                <w:b/>
                <w:color w:val="000000" w:themeColor="text1"/>
              </w:rPr>
              <w:t>理由或替代規劃：</w:t>
            </w:r>
            <w:r w:rsidRPr="00161DA8">
              <w:rPr>
                <w:rFonts w:hint="eastAsia"/>
                <w:b/>
                <w:color w:val="000000" w:themeColor="text1"/>
              </w:rPr>
              <w:t>_____________)</w:t>
            </w:r>
          </w:p>
        </w:tc>
      </w:tr>
      <w:tr w:rsidR="000D5BC7" w:rsidRPr="00161DA8" w:rsidTr="00FF0C00">
        <w:trPr>
          <w:cantSplit/>
          <w:trHeight w:val="1637"/>
        </w:trPr>
        <w:tc>
          <w:tcPr>
            <w:tcW w:w="5078" w:type="dxa"/>
            <w:gridSpan w:val="12"/>
            <w:shd w:val="clear" w:color="auto" w:fill="auto"/>
          </w:tcPr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2.</w:t>
            </w:r>
          </w:p>
        </w:tc>
        <w:tc>
          <w:tcPr>
            <w:tcW w:w="5078" w:type="dxa"/>
            <w:gridSpan w:val="6"/>
            <w:shd w:val="clear" w:color="auto" w:fill="auto"/>
          </w:tcPr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□參採</w:t>
            </w:r>
          </w:p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(</w:t>
            </w:r>
            <w:r w:rsidRPr="00161DA8">
              <w:rPr>
                <w:rFonts w:hint="eastAsia"/>
                <w:b/>
                <w:color w:val="000000" w:themeColor="text1"/>
              </w:rPr>
              <w:t>採納意見後之計畫調整：</w:t>
            </w:r>
            <w:r w:rsidRPr="00161DA8">
              <w:rPr>
                <w:rFonts w:hint="eastAsia"/>
                <w:b/>
                <w:color w:val="000000" w:themeColor="text1"/>
              </w:rPr>
              <w:t>___________)</w:t>
            </w:r>
          </w:p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□未參採</w:t>
            </w:r>
          </w:p>
          <w:p w:rsidR="000D5BC7" w:rsidRPr="00161DA8" w:rsidRDefault="000D5BC7" w:rsidP="000D5BC7">
            <w:pPr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(</w:t>
            </w:r>
            <w:r w:rsidRPr="00161DA8">
              <w:rPr>
                <w:rFonts w:hint="eastAsia"/>
                <w:b/>
                <w:color w:val="000000" w:themeColor="text1"/>
              </w:rPr>
              <w:t>理由或替代規劃：</w:t>
            </w:r>
            <w:r w:rsidRPr="00161DA8">
              <w:rPr>
                <w:rFonts w:hint="eastAsia"/>
                <w:b/>
                <w:color w:val="000000" w:themeColor="text1"/>
              </w:rPr>
              <w:t>_____________)</w:t>
            </w:r>
          </w:p>
        </w:tc>
      </w:tr>
      <w:tr w:rsidR="000D5BC7" w:rsidRPr="00161DA8" w:rsidTr="005E7CF9">
        <w:trPr>
          <w:cantSplit/>
          <w:trHeight w:val="200"/>
        </w:trPr>
        <w:tc>
          <w:tcPr>
            <w:tcW w:w="10156" w:type="dxa"/>
            <w:gridSpan w:val="18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註：專家意見應條列式呈現。如未參採，亦請詳述未參採之理由。</w:t>
            </w:r>
          </w:p>
        </w:tc>
      </w:tr>
      <w:tr w:rsidR="000D5BC7" w:rsidRPr="00161DA8" w:rsidTr="005E7CF9">
        <w:trPr>
          <w:cantSplit/>
          <w:trHeight w:val="970"/>
        </w:trPr>
        <w:tc>
          <w:tcPr>
            <w:tcW w:w="10156" w:type="dxa"/>
            <w:gridSpan w:val="18"/>
            <w:shd w:val="clear" w:color="auto" w:fill="auto"/>
            <w:vAlign w:val="center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9-3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通知程序參與之專家學者本計畫的評估結果：</w:t>
            </w:r>
          </w:p>
          <w:p w:rsidR="000D5BC7" w:rsidRPr="00161DA8" w:rsidRDefault="000D5BC7" w:rsidP="00446C37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已於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108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年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10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月</w:t>
            </w:r>
            <w:r w:rsidR="00446C37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7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日將「評估結果」通知程序參與者審閱</w:t>
            </w:r>
          </w:p>
        </w:tc>
      </w:tr>
      <w:tr w:rsidR="000D5BC7" w:rsidRPr="00161DA8" w:rsidTr="005E7CF9">
        <w:trPr>
          <w:cantSplit/>
          <w:trHeight w:val="740"/>
        </w:trPr>
        <w:tc>
          <w:tcPr>
            <w:tcW w:w="10156" w:type="dxa"/>
            <w:gridSpan w:val="18"/>
            <w:tcBorders>
              <w:bottom w:val="thinThickSmallGap" w:sz="24" w:space="0" w:color="auto"/>
            </w:tcBorders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承辦人：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 xml:space="preserve">                  </w:t>
            </w: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  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單位主管：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 xml:space="preserve">                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機關首長：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86" w:left="458" w:right="-108" w:hangingChars="5" w:hanging="12"/>
              <w:jc w:val="both"/>
              <w:rPr>
                <w:rFonts w:ascii="Calibri" w:eastAsia="新細明體" w:hAnsi="Calibri" w:cs="Times New Roman"/>
                <w:b/>
                <w:strike/>
                <w:color w:val="000000" w:themeColor="text1"/>
                <w:szCs w:val="24"/>
              </w:rPr>
            </w:pPr>
          </w:p>
        </w:tc>
      </w:tr>
      <w:tr w:rsidR="000D5BC7" w:rsidRPr="00161DA8" w:rsidTr="005E7CF9">
        <w:trPr>
          <w:cantSplit/>
          <w:trHeight w:val="740"/>
        </w:trPr>
        <w:tc>
          <w:tcPr>
            <w:tcW w:w="10156" w:type="dxa"/>
            <w:gridSpan w:val="18"/>
            <w:tcBorders>
              <w:top w:val="thinThickSmallGap" w:sz="24" w:space="0" w:color="auto"/>
            </w:tcBorders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拾、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填表機關專責人員檢覈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24" w:left="538" w:rightChars="-45" w:right="-108" w:firstLineChars="13" w:firstLine="31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填表機關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應由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專責人員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就以下項目進行檢覈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8" w:rightChars="-45" w:right="-108" w:hangingChars="201" w:hanging="483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 xml:space="preserve">    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如任一項目檢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覈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結果為「否」者，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應退回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填表單位修正相關內容後重新提交。</w:t>
            </w:r>
          </w:p>
        </w:tc>
      </w:tr>
      <w:tr w:rsidR="000D5BC7" w:rsidRPr="00161DA8" w:rsidTr="005E7CF9">
        <w:trPr>
          <w:cantSplit/>
          <w:trHeight w:val="96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hangingChars="201" w:hanging="482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檢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覈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檢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覈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內容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="34" w:rightChars="-7" w:right="-17"/>
              <w:jc w:val="center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檢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覈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結果</w:t>
            </w: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10-1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4-2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AF727C" w:rsidRDefault="000D5BC7" w:rsidP="00AF727C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和本計畫相關之性別統計與性別分析，是否已運</w:t>
            </w:r>
          </w:p>
          <w:p w:rsidR="000D5BC7" w:rsidRPr="00161DA8" w:rsidRDefault="000D5BC7" w:rsidP="00AF727C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用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 w:firstLineChars="59" w:firstLine="142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  <w:r w:rsidR="000D5BC7"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否</w:t>
            </w: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10-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7-3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4" w:left="34" w:rightChars="-45" w:right="-108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評定結果及評定原因欄位是否皆已勾選並填寫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AF727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  <w:r w:rsidR="000D5BC7"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否</w:t>
            </w: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10-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8-9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4" w:left="34" w:rightChars="-45" w:right="-108" w:firstLineChars="8" w:firstLine="19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7-3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任一指標評定「是」者，是否繼續填列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8-9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AF727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  <w:r w:rsidR="000D5BC7"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否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無須填寫</w:t>
            </w: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10-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11-2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4" w:left="34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程序參與之民間性別平等專家學者是否列於「台灣國家婦女館性別人才資料庫」或「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本市在地性別人才資料庫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(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請優先聘請曾參與性別影響評估案之專家學者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)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」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AF727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  <w:r w:rsidR="000D5BC7"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否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10-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11-5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4" w:left="34" w:rightChars="-45" w:right="-108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經程序參與之民間性別平等專家學者評定計畫與性別關聯之程度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AF727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有關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無關</w:t>
            </w: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10-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9-1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至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9-2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4" w:left="34" w:rightChars="14" w:right="34"/>
              <w:jc w:val="both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是否依程序參與民間性別平等專家學者之意見，說明採納意見後之計畫調整，或說明未參採之理由或替代規劃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AF727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  <w:r w:rsidR="000D5BC7"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否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</w:tr>
      <w:tr w:rsidR="000D5BC7" w:rsidRPr="00161DA8" w:rsidTr="005E7CF9">
        <w:trPr>
          <w:cantSplit/>
          <w:trHeight w:val="92"/>
        </w:trPr>
        <w:tc>
          <w:tcPr>
            <w:tcW w:w="709" w:type="dxa"/>
            <w:shd w:val="clear" w:color="auto" w:fill="auto"/>
          </w:tcPr>
          <w:p w:rsidR="000D5BC7" w:rsidRPr="00161DA8" w:rsidRDefault="000D5BC7" w:rsidP="000D5BC7">
            <w:pPr>
              <w:tabs>
                <w:tab w:val="left" w:pos="49"/>
              </w:tabs>
              <w:adjustRightInd w:val="0"/>
              <w:snapToGrid w:val="0"/>
              <w:spacing w:line="360" w:lineRule="atLeast"/>
              <w:ind w:leftChars="-45" w:left="-108" w:rightChars="-45" w:right="-108"/>
              <w:jc w:val="center"/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b/>
                <w:color w:val="000000" w:themeColor="text1"/>
                <w:szCs w:val="24"/>
              </w:rPr>
              <w:t>10-</w:t>
            </w:r>
            <w:r w:rsidRPr="00161DA8">
              <w:rPr>
                <w:rFonts w:ascii="Calibri" w:eastAsia="新細明體" w:hAnsi="Calibri" w:cs="Times New Roman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9-3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14" w:left="34" w:rightChars="14" w:right="34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是否已將參採情形通知程序參與之民間性別平等專家學者</w:t>
            </w:r>
            <w:r w:rsidRPr="00161DA8">
              <w:rPr>
                <w:rFonts w:ascii="Calibri" w:eastAsia="新細明體" w:hAnsi="Calibri" w:cs="Times New Roman" w:hint="eastAsia"/>
                <w:color w:val="000000" w:themeColor="text1"/>
                <w:szCs w:val="24"/>
              </w:rPr>
              <w:t>並經機關首長核章</w:t>
            </w:r>
          </w:p>
        </w:tc>
        <w:tc>
          <w:tcPr>
            <w:tcW w:w="2076" w:type="dxa"/>
            <w:shd w:val="clear" w:color="auto" w:fill="auto"/>
          </w:tcPr>
          <w:p w:rsidR="000D5BC7" w:rsidRPr="00161DA8" w:rsidRDefault="00AF727C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 w:rsidRPr="00AF727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█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是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 xml:space="preserve">    </w:t>
            </w:r>
            <w:r w:rsidR="000D5BC7" w:rsidRPr="00161D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D5BC7"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否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leftChars="23" w:left="537" w:rightChars="-45" w:right="-108" w:hangingChars="201" w:hanging="482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</w:tc>
      </w:tr>
      <w:tr w:rsidR="000D5BC7" w:rsidRPr="00161DA8" w:rsidTr="005E7CF9">
        <w:trPr>
          <w:cantSplit/>
          <w:trHeight w:val="740"/>
        </w:trPr>
        <w:tc>
          <w:tcPr>
            <w:tcW w:w="10156" w:type="dxa"/>
            <w:gridSpan w:val="18"/>
            <w:tcBorders>
              <w:bottom w:val="thinThickSmallGap" w:sz="24" w:space="0" w:color="auto"/>
            </w:tcBorders>
            <w:shd w:val="clear" w:color="auto" w:fill="auto"/>
          </w:tcPr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填表機關檢覈人員：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__________________(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註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2)</w:t>
            </w: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</w:p>
          <w:p w:rsidR="000D5BC7" w:rsidRPr="00161DA8" w:rsidRDefault="000D5BC7" w:rsidP="000D5BC7">
            <w:pPr>
              <w:adjustRightInd w:val="0"/>
              <w:snapToGrid w:val="0"/>
              <w:spacing w:line="360" w:lineRule="atLeast"/>
              <w:ind w:rightChars="-45" w:right="-108"/>
              <w:rPr>
                <w:rFonts w:ascii="Calibri" w:eastAsia="新細明體" w:hAnsi="Calibri" w:cs="Times New Roman"/>
                <w:color w:val="000000" w:themeColor="text1"/>
                <w:szCs w:val="24"/>
              </w:rPr>
            </w:pP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研考會複核人員：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______________________(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註</w:t>
            </w:r>
            <w:r w:rsidRPr="00161DA8">
              <w:rPr>
                <w:rFonts w:ascii="Calibri" w:eastAsia="新細明體" w:hAnsi="Calibri" w:cs="Times New Roman"/>
                <w:color w:val="000000" w:themeColor="text1"/>
                <w:szCs w:val="24"/>
              </w:rPr>
              <w:t>3)</w:t>
            </w:r>
          </w:p>
        </w:tc>
      </w:tr>
    </w:tbl>
    <w:p w:rsidR="00601F64" w:rsidRPr="00161DA8" w:rsidRDefault="00601F64" w:rsidP="00601F64">
      <w:pPr>
        <w:numPr>
          <w:ilvl w:val="0"/>
          <w:numId w:val="8"/>
        </w:numPr>
        <w:adjustRightInd w:val="0"/>
        <w:snapToGrid w:val="0"/>
        <w:spacing w:line="240" w:lineRule="atLeast"/>
        <w:ind w:leftChars="-236" w:left="-140" w:right="-428" w:hanging="426"/>
        <w:jc w:val="both"/>
        <w:rPr>
          <w:rFonts w:ascii="Calibri" w:eastAsia="新細明體" w:hAnsi="Calibri" w:cs="Times New Roman"/>
          <w:b/>
          <w:color w:val="000000" w:themeColor="text1"/>
          <w:szCs w:val="24"/>
        </w:rPr>
      </w:pP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註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1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：</w:t>
      </w:r>
    </w:p>
    <w:p w:rsidR="00601F64" w:rsidRPr="00161DA8" w:rsidRDefault="00601F64" w:rsidP="00601F64">
      <w:pPr>
        <w:adjustRightInd w:val="0"/>
        <w:snapToGrid w:val="0"/>
        <w:spacing w:line="240" w:lineRule="atLeast"/>
        <w:ind w:left="-140" w:right="-428"/>
        <w:jc w:val="both"/>
        <w:rPr>
          <w:rFonts w:ascii="Calibri" w:eastAsia="新細明體" w:hAnsi="Calibri" w:cs="Times New Roman"/>
          <w:b/>
          <w:color w:val="000000" w:themeColor="text1"/>
          <w:szCs w:val="24"/>
        </w:rPr>
      </w:pP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請機關填表人於填完「第一部分」第壹項至第捌項後，由民間性別平等專家學者進行「第二部分－程序參與」。「第二部分－程序參與」之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11-5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「計畫與性別關聯之程度」經民間性別平等專家學者評定為「有關」者，請機關填表人依據其檢視意見填列「第一部分－玖、評估結果」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9-1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至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9-3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；雖經評定為「無關」者，倘性別平等專家學者給予建議，亦須填寫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9-1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至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9-3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。</w:t>
      </w:r>
    </w:p>
    <w:p w:rsidR="00601F64" w:rsidRPr="00161DA8" w:rsidRDefault="00601F64" w:rsidP="00601F64">
      <w:pPr>
        <w:numPr>
          <w:ilvl w:val="0"/>
          <w:numId w:val="8"/>
        </w:numPr>
        <w:adjustRightInd w:val="0"/>
        <w:snapToGrid w:val="0"/>
        <w:spacing w:line="240" w:lineRule="atLeast"/>
        <w:ind w:leftChars="-236" w:left="-140" w:right="-428" w:hanging="426"/>
        <w:jc w:val="both"/>
        <w:rPr>
          <w:rFonts w:ascii="Calibri" w:eastAsia="新細明體" w:hAnsi="Calibri" w:cs="Times New Roman"/>
          <w:b/>
          <w:color w:val="000000" w:themeColor="text1"/>
          <w:szCs w:val="24"/>
        </w:rPr>
      </w:pP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註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2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：</w:t>
      </w:r>
    </w:p>
    <w:p w:rsidR="00601F64" w:rsidRPr="00161DA8" w:rsidRDefault="00601F64" w:rsidP="00601F64">
      <w:pPr>
        <w:adjustRightInd w:val="0"/>
        <w:snapToGrid w:val="0"/>
        <w:spacing w:line="240" w:lineRule="atLeast"/>
        <w:ind w:left="-140" w:right="-428"/>
        <w:jc w:val="both"/>
        <w:rPr>
          <w:rFonts w:ascii="Calibri" w:eastAsia="新細明體" w:hAnsi="Calibri" w:cs="Times New Roman"/>
          <w:b/>
          <w:color w:val="000000" w:themeColor="text1"/>
          <w:szCs w:val="24"/>
        </w:rPr>
      </w:pP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完成後，由填表機關專責人員進行檢覈，填寫「第一部分－拾、填表機關專責人員檢覈」。填表機關專責人員</w:t>
      </w:r>
      <w:r w:rsidRPr="00161DA8">
        <w:rPr>
          <w:rFonts w:ascii="Calibri" w:eastAsia="新細明體" w:hAnsi="Calibri" w:cs="Times New Roman" w:hint="eastAsia"/>
          <w:b/>
          <w:color w:val="000000" w:themeColor="text1"/>
          <w:szCs w:val="24"/>
        </w:rPr>
        <w:t>不得與填表人為同一人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。</w:t>
      </w:r>
    </w:p>
    <w:p w:rsidR="00601F64" w:rsidRPr="00161DA8" w:rsidRDefault="00601F64" w:rsidP="00601F64">
      <w:pPr>
        <w:numPr>
          <w:ilvl w:val="0"/>
          <w:numId w:val="8"/>
        </w:numPr>
        <w:adjustRightInd w:val="0"/>
        <w:snapToGrid w:val="0"/>
        <w:spacing w:line="240" w:lineRule="atLeast"/>
        <w:ind w:leftChars="-236" w:left="-140" w:right="-428" w:hanging="426"/>
        <w:jc w:val="both"/>
        <w:rPr>
          <w:rFonts w:ascii="Calibri" w:eastAsia="新細明體" w:hAnsi="Calibri" w:cs="Times New Roman"/>
          <w:b/>
          <w:color w:val="000000" w:themeColor="text1"/>
          <w:szCs w:val="24"/>
        </w:rPr>
      </w:pP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註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3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：</w:t>
      </w:r>
    </w:p>
    <w:p w:rsidR="00601F64" w:rsidRPr="00161DA8" w:rsidRDefault="00601F64" w:rsidP="00601F64">
      <w:pPr>
        <w:adjustRightInd w:val="0"/>
        <w:snapToGrid w:val="0"/>
        <w:spacing w:line="240" w:lineRule="atLeast"/>
        <w:ind w:left="-140" w:right="-428"/>
        <w:jc w:val="both"/>
        <w:rPr>
          <w:rFonts w:ascii="Calibri" w:eastAsia="新細明體" w:hAnsi="Calibri" w:cs="Times New Roman"/>
          <w:b/>
          <w:color w:val="000000" w:themeColor="text1"/>
          <w:szCs w:val="24"/>
        </w:rPr>
      </w:pP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若以上有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1</w:t>
      </w:r>
      <w:r w:rsidRPr="00161DA8">
        <w:rPr>
          <w:rFonts w:ascii="Calibri" w:eastAsia="新細明體" w:hAnsi="Calibri" w:cs="Times New Roman"/>
          <w:b/>
          <w:color w:val="000000" w:themeColor="text1"/>
          <w:szCs w:val="24"/>
        </w:rPr>
        <w:t>項未完成，表示計畫案在研擬時未考量性別，研考會將退回主辦機關重新辦理。</w:t>
      </w:r>
    </w:p>
    <w:p w:rsidR="00601F64" w:rsidRPr="00161DA8" w:rsidRDefault="00601F64" w:rsidP="00601F64">
      <w:pPr>
        <w:spacing w:line="460" w:lineRule="exact"/>
        <w:ind w:leftChars="-225" w:left="1" w:hangingChars="225" w:hanging="541"/>
        <w:rPr>
          <w:rFonts w:ascii="Times New Roman" w:eastAsia="細明體" w:hAnsi="細明體" w:cs="Times New Roman"/>
          <w:b/>
          <w:color w:val="000000" w:themeColor="text1"/>
          <w:szCs w:val="24"/>
        </w:rPr>
      </w:pPr>
    </w:p>
    <w:p w:rsidR="00C53B79" w:rsidRPr="00161DA8" w:rsidRDefault="00C53B79" w:rsidP="00C53B79">
      <w:pPr>
        <w:adjustRightInd w:val="0"/>
        <w:snapToGrid w:val="0"/>
        <w:spacing w:line="240" w:lineRule="atLeast"/>
        <w:ind w:left="-140" w:right="-428"/>
        <w:jc w:val="both"/>
        <w:rPr>
          <w:rFonts w:ascii="Calibri" w:hAnsi="Calibri"/>
          <w:b/>
          <w:color w:val="000000" w:themeColor="text1"/>
        </w:rPr>
      </w:pPr>
    </w:p>
    <w:p w:rsidR="00C53B79" w:rsidRPr="00161DA8" w:rsidRDefault="00C53B79" w:rsidP="00C53B79">
      <w:pPr>
        <w:spacing w:line="460" w:lineRule="exact"/>
        <w:ind w:leftChars="-225" w:left="1" w:hangingChars="225" w:hanging="541"/>
        <w:rPr>
          <w:rFonts w:eastAsia="細明體" w:hAnsi="細明體"/>
          <w:b/>
          <w:color w:val="000000" w:themeColor="text1"/>
        </w:rPr>
      </w:pPr>
    </w:p>
    <w:p w:rsidR="00C53B79" w:rsidRPr="00161DA8" w:rsidRDefault="00C53B79" w:rsidP="00C53B79">
      <w:pPr>
        <w:widowControl/>
        <w:rPr>
          <w:rFonts w:eastAsia="細明體" w:hAnsi="細明體"/>
          <w:b/>
          <w:color w:val="000000" w:themeColor="text1"/>
        </w:rPr>
      </w:pPr>
      <w:r w:rsidRPr="00161DA8">
        <w:rPr>
          <w:rFonts w:eastAsia="細明體" w:hAnsi="細明體"/>
          <w:b/>
          <w:color w:val="000000" w:themeColor="text1"/>
        </w:rPr>
        <w:br w:type="page"/>
      </w:r>
    </w:p>
    <w:p w:rsidR="00C53B79" w:rsidRPr="00161DA8" w:rsidRDefault="00C53B79" w:rsidP="00C53B79">
      <w:pPr>
        <w:spacing w:line="460" w:lineRule="exact"/>
        <w:ind w:leftChars="-225" w:left="1" w:hangingChars="225" w:hanging="541"/>
        <w:rPr>
          <w:rFonts w:eastAsia="細明體"/>
          <w:b/>
          <w:color w:val="000000" w:themeColor="text1"/>
        </w:rPr>
      </w:pPr>
      <w:r w:rsidRPr="00161DA8">
        <w:rPr>
          <w:rFonts w:eastAsia="細明體" w:hAnsi="細明體"/>
          <w:b/>
          <w:color w:val="000000" w:themeColor="text1"/>
        </w:rPr>
        <w:lastRenderedPageBreak/>
        <w:t>【第二部分－程序參與】：本部分由民間性別平等專家學者填寫</w:t>
      </w:r>
    </w:p>
    <w:tbl>
      <w:tblPr>
        <w:tblpPr w:leftFromText="180" w:rightFromText="180" w:vertAnchor="text" w:horzAnchor="margin" w:tblpXSpec="center" w:tblpY="262"/>
        <w:tblW w:w="10173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1687"/>
        <w:gridCol w:w="1857"/>
        <w:gridCol w:w="2268"/>
      </w:tblGrid>
      <w:tr w:rsidR="00161DA8" w:rsidRPr="00161DA8" w:rsidTr="008349CB">
        <w:trPr>
          <w:cantSplit/>
          <w:trHeight w:val="446"/>
        </w:trPr>
        <w:tc>
          <w:tcPr>
            <w:tcW w:w="10173" w:type="dxa"/>
            <w:gridSpan w:val="5"/>
            <w:tcBorders>
              <w:top w:val="thinThickSmallGap" w:sz="24" w:space="0" w:color="auto"/>
            </w:tcBorders>
            <w:shd w:val="clear" w:color="auto" w:fill="auto"/>
          </w:tcPr>
          <w:p w:rsidR="00C53B79" w:rsidRPr="00161DA8" w:rsidRDefault="00C53B79" w:rsidP="00422791">
            <w:pPr>
              <w:adjustRightInd w:val="0"/>
              <w:snapToGrid w:val="0"/>
              <w:spacing w:line="240" w:lineRule="atLeast"/>
              <w:ind w:leftChars="-42" w:left="1860" w:rightChars="-45" w:right="-108" w:hangingChars="817" w:hanging="1961"/>
              <w:rPr>
                <w:color w:val="000000" w:themeColor="text1"/>
              </w:rPr>
            </w:pPr>
            <w:r w:rsidRPr="00161DA8">
              <w:rPr>
                <w:color w:val="000000" w:themeColor="text1"/>
              </w:rPr>
              <w:br w:type="page"/>
            </w:r>
            <w:r w:rsidRPr="00161DA8">
              <w:rPr>
                <w:rFonts w:hint="eastAsia"/>
                <w:b/>
                <w:color w:val="000000" w:themeColor="text1"/>
              </w:rPr>
              <w:t>拾壹</w:t>
            </w:r>
            <w:r w:rsidRPr="00161DA8">
              <w:rPr>
                <w:b/>
                <w:color w:val="000000" w:themeColor="text1"/>
              </w:rPr>
              <w:t>、程序參與：</w:t>
            </w:r>
            <w:r w:rsidRPr="00161DA8">
              <w:rPr>
                <w:color w:val="000000" w:themeColor="text1"/>
              </w:rPr>
              <w:t>至少應</w:t>
            </w:r>
            <w:r w:rsidRPr="00161DA8">
              <w:rPr>
                <w:rFonts w:hint="eastAsia"/>
                <w:color w:val="000000" w:themeColor="text1"/>
              </w:rPr>
              <w:t>邀請</w:t>
            </w:r>
            <w:r w:rsidRPr="00161DA8">
              <w:rPr>
                <w:rFonts w:hint="eastAsia"/>
                <w:color w:val="000000" w:themeColor="text1"/>
              </w:rPr>
              <w:t>1</w:t>
            </w:r>
            <w:r w:rsidRPr="00161DA8">
              <w:rPr>
                <w:color w:val="000000" w:themeColor="text1"/>
              </w:rPr>
              <w:t>位以上民間性別平等專家學者</w:t>
            </w:r>
            <w:r w:rsidRPr="00161DA8">
              <w:rPr>
                <w:rFonts w:hint="eastAsia"/>
                <w:color w:val="000000" w:themeColor="text1"/>
              </w:rPr>
              <w:t>進行程序參與</w:t>
            </w:r>
            <w:r w:rsidRPr="00161DA8">
              <w:rPr>
                <w:color w:val="000000" w:themeColor="text1"/>
              </w:rPr>
              <w:t>；</w:t>
            </w:r>
            <w:r w:rsidRPr="00161DA8">
              <w:rPr>
                <w:rFonts w:ascii="Calibri" w:hAnsi="Calibri"/>
                <w:color w:val="000000" w:themeColor="text1"/>
              </w:rPr>
              <w:t>程序參與</w:t>
            </w:r>
            <w:r w:rsidRPr="00161DA8">
              <w:rPr>
                <w:rFonts w:ascii="Calibri" w:hAnsi="Calibri" w:hint="eastAsia"/>
                <w:color w:val="000000" w:themeColor="text1"/>
              </w:rPr>
              <w:t>者應名列台灣國家婦女館性別主流化人才資料庫</w:t>
            </w:r>
            <w:r w:rsidRPr="00161DA8">
              <w:rPr>
                <w:rFonts w:hint="eastAsia"/>
                <w:color w:val="000000" w:themeColor="text1"/>
              </w:rPr>
              <w:t>(</w:t>
            </w:r>
            <w:r w:rsidRPr="00161DA8">
              <w:rPr>
                <w:color w:val="000000" w:themeColor="text1"/>
              </w:rPr>
              <w:t>http://gm.taiwanwomencenter.org.tw</w:t>
            </w:r>
            <w:r w:rsidRPr="00161DA8">
              <w:rPr>
                <w:rFonts w:hint="eastAsia"/>
                <w:color w:val="000000" w:themeColor="text1"/>
              </w:rPr>
              <w:t>)</w:t>
            </w:r>
            <w:r w:rsidRPr="00161DA8">
              <w:rPr>
                <w:rFonts w:ascii="Calibri" w:hAnsi="Calibri" w:hint="eastAsia"/>
                <w:color w:val="000000" w:themeColor="text1"/>
              </w:rPr>
              <w:t>，或本市在地性別人才資料庫</w:t>
            </w:r>
            <w:r w:rsidR="00422791" w:rsidRPr="00161DA8">
              <w:rPr>
                <w:rFonts w:hint="eastAsia"/>
                <w:color w:val="000000" w:themeColor="text1"/>
              </w:rPr>
              <w:t xml:space="preserve"> </w:t>
            </w:r>
            <w:r w:rsidR="00422791" w:rsidRPr="00161DA8">
              <w:rPr>
                <w:rFonts w:ascii="Calibri" w:hAnsi="Calibri" w:hint="eastAsia"/>
                <w:color w:val="000000" w:themeColor="text1"/>
              </w:rPr>
              <w:t>(</w:t>
            </w:r>
            <w:r w:rsidR="00422791" w:rsidRPr="00161DA8">
              <w:rPr>
                <w:rFonts w:ascii="Calibri" w:hAnsi="Calibri" w:hint="eastAsia"/>
                <w:color w:val="000000" w:themeColor="text1"/>
              </w:rPr>
              <w:t>請優先聘請曾參與性別影響評估案之專家學者</w:t>
            </w:r>
            <w:r w:rsidR="00422791" w:rsidRPr="00161DA8">
              <w:rPr>
                <w:rFonts w:ascii="Calibri" w:hAnsi="Calibri" w:hint="eastAsia"/>
                <w:color w:val="000000" w:themeColor="text1"/>
              </w:rPr>
              <w:t>)</w:t>
            </w:r>
            <w:r w:rsidRPr="00161DA8">
              <w:rPr>
                <w:rFonts w:ascii="Calibri" w:hAnsi="Calibri" w:hint="eastAsia"/>
                <w:color w:val="000000" w:themeColor="text1"/>
              </w:rPr>
              <w:t>。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240" w:lineRule="atLeast"/>
              <w:ind w:leftChars="-45" w:left="70" w:rightChars="-45" w:right="-108" w:hangingChars="74" w:hanging="178"/>
              <w:jc w:val="both"/>
              <w:rPr>
                <w:b/>
                <w:color w:val="000000" w:themeColor="text1"/>
              </w:rPr>
            </w:pPr>
            <w:r w:rsidRPr="00161DA8">
              <w:rPr>
                <w:b/>
                <w:color w:val="000000" w:themeColor="text1"/>
              </w:rPr>
              <w:t>（一）基本資料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2943" w:type="dxa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-1</w:t>
            </w:r>
            <w:r w:rsidRPr="00161DA8">
              <w:rPr>
                <w:b/>
                <w:color w:val="000000" w:themeColor="text1"/>
              </w:rPr>
              <w:t>程序參與期程或時間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C53B79" w:rsidRPr="00161DA8" w:rsidRDefault="004C77CF" w:rsidP="004C77CF">
            <w:pPr>
              <w:adjustRightInd w:val="0"/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</w:t>
            </w:r>
            <w:r w:rsidR="00C53B79" w:rsidRPr="00161DA8">
              <w:rPr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9</w:t>
            </w:r>
            <w:r w:rsidR="00C53B79" w:rsidRPr="00161DA8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25</w:t>
            </w:r>
            <w:r w:rsidR="00C53B79" w:rsidRPr="00161DA8">
              <w:rPr>
                <w:color w:val="000000" w:themeColor="text1"/>
              </w:rPr>
              <w:t>日至</w:t>
            </w:r>
            <w:r w:rsidR="00C53B79" w:rsidRPr="00161DA8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108</w:t>
            </w:r>
            <w:r w:rsidR="00C53B79" w:rsidRPr="00161DA8">
              <w:rPr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10</w:t>
            </w:r>
            <w:r w:rsidR="00C53B79" w:rsidRPr="00161DA8"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7</w:t>
            </w:r>
            <w:r w:rsidR="00C53B79" w:rsidRPr="00161DA8">
              <w:rPr>
                <w:color w:val="000000" w:themeColor="text1"/>
              </w:rPr>
              <w:t>日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2943" w:type="dxa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76" w:rightChars="13" w:right="31" w:hangingChars="204" w:hanging="490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-2</w:t>
            </w:r>
            <w:r w:rsidRPr="00161DA8">
              <w:rPr>
                <w:b/>
                <w:color w:val="000000" w:themeColor="text1"/>
              </w:rPr>
              <w:t>參與者姓名、職稱、服務單位及其專長領域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C53B79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羅元鈺</w:t>
            </w:r>
          </w:p>
          <w:p w:rsidR="00752B8F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緣遇創意活動婚禮公司負責人</w:t>
            </w:r>
          </w:p>
          <w:p w:rsidR="00752B8F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桃園市政府性別人才資料庫推薦專家、桃園市政府社會局性別平等宣導種子講師、國際青年商會中華民國總會分科講師、桃園女國際青年商會</w:t>
            </w:r>
            <w:r>
              <w:rPr>
                <w:rFonts w:hint="eastAsia"/>
                <w:color w:val="000000" w:themeColor="text1"/>
              </w:rPr>
              <w:t>2015</w:t>
            </w:r>
            <w:r>
              <w:rPr>
                <w:rFonts w:hint="eastAsia"/>
                <w:color w:val="000000" w:themeColor="text1"/>
              </w:rPr>
              <w:t>會長</w:t>
            </w:r>
          </w:p>
          <w:p w:rsidR="00752B8F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性別平等、口語表達、領導溝通課程講師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2943" w:type="dxa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-3</w:t>
            </w:r>
            <w:r w:rsidRPr="00161DA8">
              <w:rPr>
                <w:b/>
                <w:color w:val="000000" w:themeColor="text1"/>
              </w:rPr>
              <w:t>參與方式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C53B79" w:rsidRPr="00161DA8" w:rsidRDefault="00752B8F" w:rsidP="008349CB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>計畫研商會議  □性別平等專</w:t>
            </w:r>
            <w:r w:rsidR="00C53B79" w:rsidRPr="00161DA8">
              <w:rPr>
                <w:rFonts w:ascii="新細明體" w:hAnsi="新細明體" w:hint="eastAsia"/>
                <w:color w:val="000000" w:themeColor="text1"/>
              </w:rPr>
              <w:t>責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>小組</w:t>
            </w:r>
            <w:r w:rsidR="00C53B79" w:rsidRPr="00161DA8">
              <w:rPr>
                <w:rFonts w:ascii="新細明體" w:hAnsi="新細明體" w:hint="eastAsia"/>
                <w:color w:val="000000" w:themeColor="text1"/>
              </w:rPr>
              <w:t>會議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 xml:space="preserve">　□書面意見</w:t>
            </w:r>
          </w:p>
        </w:tc>
      </w:tr>
      <w:tr w:rsidR="00161DA8" w:rsidRPr="00161DA8" w:rsidTr="008349CB">
        <w:trPr>
          <w:cantSplit/>
          <w:trHeight w:val="47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-4</w:t>
            </w:r>
            <w:r w:rsidRPr="00161DA8">
              <w:rPr>
                <w:b/>
                <w:color w:val="000000" w:themeColor="text1"/>
              </w:rPr>
              <w:t>業務單位所提供之資料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jc w:val="center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相關統計資料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jc w:val="center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計畫書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jc w:val="center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計畫書</w:t>
            </w:r>
            <w:r w:rsidRPr="00161DA8">
              <w:rPr>
                <w:rFonts w:ascii="新細明體" w:hAnsi="新細明體" w:hint="eastAsia"/>
                <w:color w:val="000000" w:themeColor="text1"/>
              </w:rPr>
              <w:t>涵</w:t>
            </w:r>
            <w:r w:rsidRPr="00161DA8">
              <w:rPr>
                <w:rFonts w:ascii="新細明體" w:hAnsi="新細明體"/>
                <w:color w:val="000000" w:themeColor="text1"/>
              </w:rPr>
              <w:t>納其他初評結果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2943" w:type="dxa"/>
            <w:vMerge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b/>
                <w:color w:val="000000" w:themeColor="text1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 xml:space="preserve">□有 </w:t>
            </w:r>
          </w:p>
          <w:p w:rsidR="00C53B79" w:rsidRPr="00161DA8" w:rsidRDefault="00C53B79" w:rsidP="008349CB">
            <w:pPr>
              <w:adjustRightInd w:val="0"/>
              <w:snapToGrid w:val="0"/>
              <w:ind w:firstLineChars="200" w:firstLine="48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 xml:space="preserve">□很完整  </w:t>
            </w:r>
          </w:p>
          <w:p w:rsidR="00C53B79" w:rsidRPr="00161DA8" w:rsidRDefault="00C53B79" w:rsidP="008349CB">
            <w:pPr>
              <w:adjustRightInd w:val="0"/>
              <w:snapToGrid w:val="0"/>
              <w:ind w:firstLineChars="200" w:firstLine="48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□可更完整</w:t>
            </w:r>
          </w:p>
          <w:p w:rsidR="00C53B79" w:rsidRPr="00161DA8" w:rsidRDefault="00C53B79" w:rsidP="008349CB">
            <w:pPr>
              <w:adjustRightInd w:val="0"/>
              <w:snapToGrid w:val="0"/>
              <w:ind w:leftChars="200" w:left="742" w:hangingChars="109" w:hanging="262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□現有資料不足須設法補足</w:t>
            </w:r>
          </w:p>
          <w:p w:rsidR="00C53B79" w:rsidRPr="00161DA8" w:rsidRDefault="00752B8F" w:rsidP="008349CB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 xml:space="preserve">無 </w:t>
            </w:r>
          </w:p>
          <w:p w:rsidR="00C53B79" w:rsidRPr="00161DA8" w:rsidRDefault="00752B8F" w:rsidP="008349CB">
            <w:pPr>
              <w:adjustRightInd w:val="0"/>
              <w:snapToGrid w:val="0"/>
              <w:ind w:firstLineChars="200" w:firstLine="48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>應可設法找尋</w:t>
            </w:r>
          </w:p>
          <w:p w:rsidR="00C53B79" w:rsidRPr="00161DA8" w:rsidRDefault="00C53B79" w:rsidP="008349CB">
            <w:pPr>
              <w:adjustRightInd w:val="0"/>
              <w:snapToGrid w:val="0"/>
              <w:ind w:firstLineChars="200" w:firstLine="48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□現狀與未來皆有困難</w:t>
            </w:r>
          </w:p>
        </w:tc>
        <w:tc>
          <w:tcPr>
            <w:tcW w:w="1857" w:type="dxa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ind w:left="240" w:hangingChars="100" w:hanging="24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>有，且具性別目標</w:t>
            </w:r>
          </w:p>
          <w:p w:rsidR="00C53B79" w:rsidRPr="00161DA8" w:rsidRDefault="00C53B79" w:rsidP="008349CB">
            <w:pPr>
              <w:adjustRightInd w:val="0"/>
              <w:snapToGrid w:val="0"/>
              <w:ind w:left="240" w:hangingChars="100" w:hanging="24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□有，但無性別目標</w:t>
            </w:r>
          </w:p>
          <w:p w:rsidR="00C53B79" w:rsidRPr="00161DA8" w:rsidRDefault="00C53B79" w:rsidP="008349CB">
            <w:pPr>
              <w:adjustRightInd w:val="0"/>
              <w:snapToGrid w:val="0"/>
              <w:ind w:left="240" w:hangingChars="100" w:hanging="24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□無</w:t>
            </w:r>
          </w:p>
        </w:tc>
        <w:tc>
          <w:tcPr>
            <w:tcW w:w="2268" w:type="dxa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ind w:left="240" w:hangingChars="100" w:hanging="24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 xml:space="preserve">□有，已很完整  </w:t>
            </w:r>
          </w:p>
          <w:p w:rsidR="00C53B79" w:rsidRPr="00161DA8" w:rsidRDefault="00752B8F" w:rsidP="008349CB">
            <w:pPr>
              <w:adjustRightInd w:val="0"/>
              <w:snapToGrid w:val="0"/>
              <w:ind w:left="240" w:hangingChars="100" w:hanging="24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>有，但仍有改善空間</w:t>
            </w:r>
          </w:p>
          <w:p w:rsidR="00C53B79" w:rsidRPr="00161DA8" w:rsidRDefault="00C53B79" w:rsidP="008349CB">
            <w:pPr>
              <w:adjustRightInd w:val="0"/>
              <w:snapToGrid w:val="0"/>
              <w:ind w:left="240" w:hangingChars="100" w:hanging="240"/>
              <w:rPr>
                <w:rFonts w:ascii="新細明體" w:hAnsi="新細明體"/>
                <w:color w:val="000000" w:themeColor="text1"/>
              </w:rPr>
            </w:pPr>
            <w:r w:rsidRPr="00161DA8">
              <w:rPr>
                <w:rFonts w:ascii="新細明體" w:hAnsi="新細明體"/>
                <w:color w:val="000000" w:themeColor="text1"/>
              </w:rPr>
              <w:t>□無</w:t>
            </w:r>
          </w:p>
        </w:tc>
      </w:tr>
      <w:tr w:rsidR="00161DA8" w:rsidRPr="00161DA8" w:rsidTr="008349CB">
        <w:trPr>
          <w:cantSplit/>
          <w:trHeight w:val="677"/>
        </w:trPr>
        <w:tc>
          <w:tcPr>
            <w:tcW w:w="2943" w:type="dxa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90" w:rightChars="-45" w:right="-108" w:hangingChars="210" w:hanging="504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-5</w:t>
            </w:r>
            <w:r w:rsidRPr="00161DA8">
              <w:rPr>
                <w:b/>
                <w:color w:val="000000" w:themeColor="text1"/>
              </w:rPr>
              <w:t>計畫與性別關</w:t>
            </w:r>
            <w:r w:rsidRPr="00161DA8">
              <w:rPr>
                <w:rFonts w:hint="eastAsia"/>
                <w:b/>
                <w:color w:val="000000" w:themeColor="text1"/>
              </w:rPr>
              <w:t>聯</w:t>
            </w:r>
            <w:r w:rsidRPr="00161DA8">
              <w:rPr>
                <w:b/>
                <w:color w:val="000000" w:themeColor="text1"/>
              </w:rPr>
              <w:t>之程度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C53B79" w:rsidRPr="00161DA8">
              <w:rPr>
                <w:rFonts w:ascii="新細明體" w:hAnsi="新細明體" w:hint="eastAsia"/>
                <w:color w:val="000000" w:themeColor="text1"/>
              </w:rPr>
              <w:t>有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>關          □</w:t>
            </w:r>
            <w:r w:rsidR="00C53B79" w:rsidRPr="00161DA8">
              <w:rPr>
                <w:rFonts w:ascii="新細明體" w:hAnsi="新細明體" w:hint="eastAsia"/>
                <w:color w:val="000000" w:themeColor="text1"/>
              </w:rPr>
              <w:t>無</w:t>
            </w:r>
            <w:r w:rsidR="00C53B79" w:rsidRPr="00161DA8">
              <w:rPr>
                <w:rFonts w:ascii="新細明體" w:hAnsi="新細明體"/>
                <w:color w:val="000000" w:themeColor="text1"/>
              </w:rPr>
              <w:t xml:space="preserve">關   </w:t>
            </w:r>
          </w:p>
          <w:p w:rsidR="00C53B79" w:rsidRPr="00161DA8" w:rsidRDefault="00C53B79" w:rsidP="008349CB">
            <w:pPr>
              <w:adjustRightInd w:val="0"/>
              <w:snapToGrid w:val="0"/>
              <w:rPr>
                <w:rFonts w:ascii="新細明體" w:hAnsi="新細明體"/>
                <w:b/>
                <w:color w:val="000000" w:themeColor="text1"/>
              </w:rPr>
            </w:pPr>
            <w:r w:rsidRPr="00161DA8">
              <w:rPr>
                <w:rFonts w:ascii="新細明體" w:hAnsi="新細明體"/>
                <w:b/>
                <w:color w:val="000000" w:themeColor="text1"/>
              </w:rPr>
              <w:t>（</w:t>
            </w:r>
            <w:r w:rsidRPr="00161DA8">
              <w:rPr>
                <w:rFonts w:ascii="新細明體" w:hAnsi="新細明體" w:hint="eastAsia"/>
                <w:b/>
                <w:color w:val="000000" w:themeColor="text1"/>
              </w:rPr>
              <w:t>若</w:t>
            </w:r>
            <w:r w:rsidRPr="00161DA8">
              <w:rPr>
                <w:rFonts w:ascii="新細明體" w:hAnsi="新細明體"/>
                <w:b/>
                <w:color w:val="000000" w:themeColor="text1"/>
              </w:rPr>
              <w:t>性別平等專家學者</w:t>
            </w:r>
            <w:r w:rsidRPr="00161DA8">
              <w:rPr>
                <w:b/>
                <w:color w:val="000000" w:themeColor="text1"/>
              </w:rPr>
              <w:t>認為第一部分「柒、受益對象」</w:t>
            </w:r>
            <w:r w:rsidRPr="00161DA8">
              <w:rPr>
                <w:b/>
                <w:color w:val="000000" w:themeColor="text1"/>
              </w:rPr>
              <w:t>7-1</w:t>
            </w:r>
            <w:r w:rsidRPr="00161DA8">
              <w:rPr>
                <w:b/>
                <w:color w:val="000000" w:themeColor="text1"/>
              </w:rPr>
              <w:t>至</w:t>
            </w:r>
            <w:r w:rsidRPr="00161DA8">
              <w:rPr>
                <w:b/>
                <w:color w:val="000000" w:themeColor="text1"/>
              </w:rPr>
              <w:t>7-3</w:t>
            </w:r>
            <w:r w:rsidRPr="00161DA8">
              <w:rPr>
                <w:rFonts w:hAnsi="新細明體"/>
                <w:b/>
                <w:color w:val="000000" w:themeColor="text1"/>
              </w:rPr>
              <w:t>任</w:t>
            </w:r>
            <w:r w:rsidRPr="00161DA8">
              <w:rPr>
                <w:rFonts w:ascii="新細明體" w:hAnsi="新細明體" w:hint="eastAsia"/>
                <w:b/>
                <w:color w:val="000000" w:themeColor="text1"/>
              </w:rPr>
              <w:t>一指標應評定</w:t>
            </w:r>
            <w:r w:rsidRPr="00161DA8">
              <w:rPr>
                <w:rFonts w:hAnsi="新細明體" w:hint="eastAsia"/>
                <w:b/>
                <w:color w:val="000000" w:themeColor="text1"/>
              </w:rPr>
              <w:t>為「是」者，則勾選「有關」；若</w:t>
            </w:r>
            <w:r w:rsidRPr="00161DA8">
              <w:rPr>
                <w:rFonts w:hAnsi="新細明體" w:hint="eastAsia"/>
                <w:b/>
                <w:color w:val="000000" w:themeColor="text1"/>
              </w:rPr>
              <w:t>7-1</w:t>
            </w:r>
            <w:r w:rsidRPr="00161DA8">
              <w:rPr>
                <w:rFonts w:hAnsi="新細明體" w:hint="eastAsia"/>
                <w:b/>
                <w:color w:val="000000" w:themeColor="text1"/>
              </w:rPr>
              <w:t>至</w:t>
            </w:r>
            <w:r w:rsidRPr="00161DA8">
              <w:rPr>
                <w:rFonts w:hAnsi="新細明體" w:hint="eastAsia"/>
                <w:b/>
                <w:color w:val="000000" w:themeColor="text1"/>
              </w:rPr>
              <w:t>7-3</w:t>
            </w:r>
            <w:r w:rsidRPr="00161DA8">
              <w:rPr>
                <w:rFonts w:hAnsi="新細明體" w:hint="eastAsia"/>
                <w:b/>
                <w:color w:val="000000" w:themeColor="text1"/>
              </w:rPr>
              <w:t>均評定「否」者，則勾選「無關」</w:t>
            </w:r>
            <w:r w:rsidRPr="00161DA8">
              <w:rPr>
                <w:rFonts w:hAnsi="新細明體"/>
                <w:b/>
                <w:color w:val="000000" w:themeColor="text1"/>
              </w:rPr>
              <w:t>）</w:t>
            </w:r>
            <w:r w:rsidRPr="00161DA8">
              <w:rPr>
                <w:rFonts w:hAnsi="新細明體" w:hint="eastAsia"/>
                <w:b/>
                <w:color w:val="000000" w:themeColor="text1"/>
              </w:rPr>
              <w:t>。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10173" w:type="dxa"/>
            <w:gridSpan w:val="5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240" w:lineRule="atLeast"/>
              <w:ind w:leftChars="-58" w:left="606" w:rightChars="7" w:right="17" w:hangingChars="310" w:hanging="745"/>
              <w:rPr>
                <w:b/>
                <w:color w:val="000000" w:themeColor="text1"/>
              </w:rPr>
            </w:pPr>
            <w:r w:rsidRPr="00161DA8">
              <w:rPr>
                <w:b/>
                <w:color w:val="000000" w:themeColor="text1"/>
              </w:rPr>
              <w:t>（二）主要意見：就前述各項（問題與需求評估、性別目標、參與機制之設計、資源投入及效益評估）說明之合宜性提出檢視意見，並提供綜合意見。</w:t>
            </w:r>
          </w:p>
        </w:tc>
      </w:tr>
      <w:tr w:rsidR="00161DA8" w:rsidRPr="00161DA8" w:rsidTr="008349CB">
        <w:trPr>
          <w:cantSplit/>
          <w:trHeight w:val="361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-6</w:t>
            </w:r>
            <w:r w:rsidRPr="00161DA8">
              <w:rPr>
                <w:rFonts w:hint="eastAsia"/>
                <w:b/>
                <w:color w:val="000000" w:themeColor="text1"/>
              </w:rPr>
              <w:t xml:space="preserve"> </w:t>
            </w:r>
            <w:r w:rsidRPr="00161DA8">
              <w:rPr>
                <w:b/>
                <w:color w:val="000000" w:themeColor="text1"/>
              </w:rPr>
              <w:t>問題與需求評估說明之合宜性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透過網路平台宣傳方式很棒，但可加入明確的社群平台為何，亦可與其他單位合作播放影片進行宣傳。</w:t>
            </w:r>
          </w:p>
        </w:tc>
      </w:tr>
      <w:tr w:rsidR="00161DA8" w:rsidRPr="00161DA8" w:rsidTr="008349CB">
        <w:trPr>
          <w:cantSplit/>
          <w:trHeight w:val="343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-7</w:t>
            </w:r>
            <w:r w:rsidRPr="00161DA8">
              <w:rPr>
                <w:rFonts w:hint="eastAsia"/>
                <w:b/>
                <w:color w:val="000000" w:themeColor="text1"/>
              </w:rPr>
              <w:t xml:space="preserve"> </w:t>
            </w:r>
            <w:r w:rsidRPr="00161DA8">
              <w:rPr>
                <w:b/>
                <w:color w:val="000000" w:themeColor="text1"/>
              </w:rPr>
              <w:t>性別目標說明之合宜性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752B8F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拍攝與性別議題相關影像，可針對不同性別目標進行拍攝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如拍攝以往都是女性就業的工作但由男性發聲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，扭轉職場刻板印象。</w:t>
            </w:r>
          </w:p>
        </w:tc>
      </w:tr>
      <w:tr w:rsidR="00161DA8" w:rsidRPr="00161DA8" w:rsidTr="008349CB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-8</w:t>
            </w:r>
            <w:r w:rsidRPr="00161DA8">
              <w:rPr>
                <w:rFonts w:hint="eastAsia"/>
                <w:b/>
                <w:color w:val="000000" w:themeColor="text1"/>
              </w:rPr>
              <w:t xml:space="preserve"> </w:t>
            </w:r>
            <w:r w:rsidRPr="00161DA8">
              <w:rPr>
                <w:b/>
                <w:color w:val="000000" w:themeColor="text1"/>
              </w:rPr>
              <w:t>性別參與情形或改善方法之合宜性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依影片不同主題拍攝可加入性別比例調整，如職人觀點可男女比例各半進行拍攝、受訪者男女比例亦可調整。</w:t>
            </w:r>
          </w:p>
        </w:tc>
      </w:tr>
      <w:tr w:rsidR="00161DA8" w:rsidRPr="00161DA8" w:rsidTr="008349CB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-9</w:t>
            </w:r>
            <w:r w:rsidRPr="00161DA8">
              <w:rPr>
                <w:rFonts w:hint="eastAsia"/>
                <w:b/>
                <w:color w:val="000000" w:themeColor="text1"/>
              </w:rPr>
              <w:t xml:space="preserve"> </w:t>
            </w:r>
            <w:r w:rsidRPr="00161DA8">
              <w:rPr>
                <w:b/>
                <w:color w:val="000000" w:themeColor="text1"/>
              </w:rPr>
              <w:t>受益對象之合宜性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合宜</w:t>
            </w:r>
          </w:p>
        </w:tc>
      </w:tr>
      <w:tr w:rsidR="00161DA8" w:rsidRPr="00161DA8" w:rsidTr="008349CB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-10</w:t>
            </w:r>
            <w:r w:rsidRPr="00161DA8">
              <w:rPr>
                <w:b/>
                <w:color w:val="000000" w:themeColor="text1"/>
              </w:rPr>
              <w:t>資</w:t>
            </w:r>
            <w:r w:rsidRPr="00161DA8">
              <w:rPr>
                <w:rFonts w:hint="eastAsia"/>
                <w:b/>
                <w:color w:val="000000" w:themeColor="text1"/>
              </w:rPr>
              <w:t>源與過程</w:t>
            </w:r>
            <w:r w:rsidRPr="00161DA8">
              <w:rPr>
                <w:b/>
                <w:color w:val="000000" w:themeColor="text1"/>
              </w:rPr>
              <w:t>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希望能加入性別統計資料明確的數字</w:t>
            </w:r>
          </w:p>
        </w:tc>
      </w:tr>
      <w:tr w:rsidR="00161DA8" w:rsidRPr="00161DA8" w:rsidTr="008349CB">
        <w:trPr>
          <w:cantSplit/>
          <w:trHeight w:val="289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t>11</w:t>
            </w:r>
            <w:r w:rsidRPr="00161DA8">
              <w:rPr>
                <w:b/>
                <w:color w:val="000000" w:themeColor="text1"/>
              </w:rPr>
              <w:t>-11</w:t>
            </w:r>
            <w:r w:rsidRPr="00161DA8">
              <w:rPr>
                <w:b/>
                <w:color w:val="000000" w:themeColor="text1"/>
              </w:rPr>
              <w:t>效益評估說明之合宜性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合宜</w:t>
            </w:r>
          </w:p>
        </w:tc>
      </w:tr>
      <w:tr w:rsidR="00161DA8" w:rsidRPr="00161DA8" w:rsidTr="008349CB">
        <w:trPr>
          <w:cantSplit/>
          <w:trHeight w:val="381"/>
        </w:trPr>
        <w:tc>
          <w:tcPr>
            <w:tcW w:w="4361" w:type="dxa"/>
            <w:gridSpan w:val="2"/>
            <w:shd w:val="clear" w:color="auto" w:fill="auto"/>
          </w:tcPr>
          <w:p w:rsidR="00C53B79" w:rsidRPr="00161DA8" w:rsidRDefault="00C53B79" w:rsidP="008349CB">
            <w:pPr>
              <w:adjustRightInd w:val="0"/>
              <w:snapToGrid w:val="0"/>
              <w:spacing w:line="360" w:lineRule="atLeast"/>
              <w:ind w:leftChars="-6" w:left="462" w:rightChars="-45" w:right="-108" w:hangingChars="198" w:hanging="476"/>
              <w:rPr>
                <w:b/>
                <w:color w:val="000000" w:themeColor="text1"/>
              </w:rPr>
            </w:pPr>
            <w:r w:rsidRPr="00161DA8">
              <w:rPr>
                <w:rFonts w:hint="eastAsia"/>
                <w:b/>
                <w:color w:val="000000" w:themeColor="text1"/>
              </w:rPr>
              <w:lastRenderedPageBreak/>
              <w:t>11</w:t>
            </w:r>
            <w:r w:rsidRPr="00161DA8">
              <w:rPr>
                <w:b/>
                <w:color w:val="000000" w:themeColor="text1"/>
              </w:rPr>
              <w:t>-12</w:t>
            </w:r>
            <w:r w:rsidRPr="00161DA8">
              <w:rPr>
                <w:b/>
                <w:color w:val="000000" w:themeColor="text1"/>
              </w:rPr>
              <w:t>綜合性檢視意見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53B79" w:rsidRPr="00161DA8" w:rsidRDefault="00752B8F" w:rsidP="008349CB">
            <w:pPr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希望年度性別拍攝議題可加入</w:t>
            </w:r>
            <w:r>
              <w:rPr>
                <w:rFonts w:hint="eastAsia"/>
                <w:color w:val="000000" w:themeColor="text1"/>
              </w:rPr>
              <w:t>CEDAW</w:t>
            </w:r>
            <w:r>
              <w:rPr>
                <w:rFonts w:hint="eastAsia"/>
                <w:color w:val="000000" w:themeColor="text1"/>
              </w:rPr>
              <w:t>為主題</w:t>
            </w:r>
          </w:p>
        </w:tc>
      </w:tr>
      <w:tr w:rsidR="00161DA8" w:rsidRPr="00161DA8" w:rsidTr="008349CB">
        <w:trPr>
          <w:cantSplit/>
          <w:trHeight w:val="446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C53B79" w:rsidRPr="00161DA8" w:rsidRDefault="00C53B79" w:rsidP="008349CB">
            <w:pPr>
              <w:adjustRightInd w:val="0"/>
              <w:snapToGrid w:val="0"/>
              <w:spacing w:line="240" w:lineRule="atLeast"/>
              <w:ind w:leftChars="-45" w:left="-108" w:rightChars="-45" w:right="-108"/>
              <w:jc w:val="both"/>
              <w:rPr>
                <w:b/>
                <w:color w:val="000000" w:themeColor="text1"/>
              </w:rPr>
            </w:pPr>
            <w:r w:rsidRPr="00161DA8">
              <w:rPr>
                <w:b/>
                <w:color w:val="000000" w:themeColor="text1"/>
              </w:rPr>
              <w:t>（三）參與時機及方式之合宜性</w:t>
            </w:r>
            <w:r w:rsidR="00752B8F">
              <w:rPr>
                <w:rFonts w:hint="eastAsia"/>
                <w:b/>
                <w:color w:val="000000" w:themeColor="text1"/>
              </w:rPr>
              <w:t>：合宜</w:t>
            </w:r>
          </w:p>
        </w:tc>
      </w:tr>
      <w:tr w:rsidR="00161DA8" w:rsidRPr="00161DA8" w:rsidTr="008349CB">
        <w:trPr>
          <w:cantSplit/>
          <w:trHeight w:val="649"/>
        </w:trPr>
        <w:tc>
          <w:tcPr>
            <w:tcW w:w="10173" w:type="dxa"/>
            <w:gridSpan w:val="5"/>
            <w:shd w:val="clear" w:color="auto" w:fill="auto"/>
          </w:tcPr>
          <w:p w:rsidR="00C53B79" w:rsidRDefault="00C53B79" w:rsidP="008349CB">
            <w:pPr>
              <w:adjustRightInd w:val="0"/>
              <w:snapToGrid w:val="0"/>
              <w:spacing w:line="240" w:lineRule="atLeast"/>
              <w:ind w:rightChars="-45" w:right="-108"/>
              <w:rPr>
                <w:b/>
                <w:color w:val="000000" w:themeColor="text1"/>
              </w:rPr>
            </w:pPr>
            <w:r w:rsidRPr="00161DA8">
              <w:rPr>
                <w:b/>
                <w:color w:val="000000" w:themeColor="text1"/>
              </w:rPr>
              <w:t>本人同意恪遵保密義務，未經</w:t>
            </w:r>
            <w:r w:rsidRPr="00161DA8">
              <w:rPr>
                <w:rFonts w:hint="eastAsia"/>
                <w:b/>
                <w:color w:val="000000" w:themeColor="text1"/>
              </w:rPr>
              <w:t>機關</w:t>
            </w:r>
            <w:r w:rsidRPr="00161DA8">
              <w:rPr>
                <w:b/>
                <w:color w:val="000000" w:themeColor="text1"/>
              </w:rPr>
              <w:t>同意不得逕自對外公開所評估之計畫草案。</w:t>
            </w:r>
            <w:r w:rsidRPr="00161DA8">
              <w:rPr>
                <w:b/>
                <w:color w:val="000000" w:themeColor="text1"/>
              </w:rPr>
              <w:br/>
            </w:r>
            <w:r w:rsidRPr="00161DA8">
              <w:rPr>
                <w:b/>
                <w:color w:val="000000" w:themeColor="text1"/>
              </w:rPr>
              <w:t>（簽章，簽名或打字皆可）</w:t>
            </w:r>
            <w:r w:rsidRPr="00161DA8">
              <w:rPr>
                <w:b/>
                <w:color w:val="000000" w:themeColor="text1"/>
              </w:rPr>
              <w:t xml:space="preserve">          </w:t>
            </w:r>
            <w:r w:rsidRPr="00161DA8">
              <w:rPr>
                <w:rFonts w:hint="eastAsia"/>
                <w:b/>
                <w:color w:val="000000" w:themeColor="text1"/>
              </w:rPr>
              <w:t xml:space="preserve">    </w:t>
            </w:r>
          </w:p>
          <w:p w:rsidR="004C77CF" w:rsidRDefault="004C77CF" w:rsidP="008349CB">
            <w:pPr>
              <w:adjustRightInd w:val="0"/>
              <w:snapToGrid w:val="0"/>
              <w:spacing w:line="240" w:lineRule="atLeast"/>
              <w:ind w:rightChars="-45" w:right="-108"/>
              <w:rPr>
                <w:b/>
                <w:color w:val="000000" w:themeColor="text1"/>
              </w:rPr>
            </w:pPr>
          </w:p>
          <w:p w:rsidR="004C77CF" w:rsidRDefault="0082049C" w:rsidP="008349CB">
            <w:pPr>
              <w:adjustRightInd w:val="0"/>
              <w:snapToGrid w:val="0"/>
              <w:spacing w:line="240" w:lineRule="atLeast"/>
              <w:ind w:rightChars="-45" w:right="-108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羅元鈺</w:t>
            </w:r>
          </w:p>
          <w:p w:rsidR="004C77CF" w:rsidRDefault="004C77CF" w:rsidP="008349CB">
            <w:pPr>
              <w:adjustRightInd w:val="0"/>
              <w:snapToGrid w:val="0"/>
              <w:spacing w:line="240" w:lineRule="atLeast"/>
              <w:ind w:rightChars="-45" w:right="-108"/>
              <w:rPr>
                <w:b/>
                <w:color w:val="000000" w:themeColor="text1"/>
              </w:rPr>
            </w:pPr>
          </w:p>
          <w:p w:rsidR="004C77CF" w:rsidRPr="00161DA8" w:rsidRDefault="004C77CF" w:rsidP="008349CB">
            <w:pPr>
              <w:adjustRightInd w:val="0"/>
              <w:snapToGrid w:val="0"/>
              <w:spacing w:line="240" w:lineRule="atLeast"/>
              <w:ind w:rightChars="-45" w:right="-108"/>
              <w:rPr>
                <w:color w:val="000000" w:themeColor="text1"/>
              </w:rPr>
            </w:pPr>
          </w:p>
        </w:tc>
      </w:tr>
    </w:tbl>
    <w:p w:rsidR="00C53B79" w:rsidRPr="00161DA8" w:rsidRDefault="00C53B79" w:rsidP="00C53B79">
      <w:pPr>
        <w:rPr>
          <w:color w:val="000000" w:themeColor="text1"/>
        </w:rPr>
      </w:pPr>
    </w:p>
    <w:p w:rsidR="00347677" w:rsidRPr="0067398E" w:rsidRDefault="00347677" w:rsidP="00C53B79">
      <w:pPr>
        <w:rPr>
          <w:color w:val="000000" w:themeColor="text1"/>
        </w:rPr>
      </w:pPr>
    </w:p>
    <w:sectPr w:rsidR="00347677" w:rsidRPr="0067398E" w:rsidSect="00E868B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78" w:rsidRDefault="002B1C78" w:rsidP="00126300">
      <w:r>
        <w:separator/>
      </w:r>
    </w:p>
  </w:endnote>
  <w:endnote w:type="continuationSeparator" w:id="0">
    <w:p w:rsidR="002B1C78" w:rsidRDefault="002B1C78" w:rsidP="001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116387"/>
      <w:docPartObj>
        <w:docPartGallery w:val="Page Numbers (Bottom of Page)"/>
        <w:docPartUnique/>
      </w:docPartObj>
    </w:sdtPr>
    <w:sdtEndPr/>
    <w:sdtContent>
      <w:p w:rsidR="00BA1259" w:rsidRDefault="00BA12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37" w:rsidRPr="00446C37">
          <w:rPr>
            <w:noProof/>
            <w:lang w:val="zh-TW"/>
          </w:rPr>
          <w:t>2</w:t>
        </w:r>
        <w:r>
          <w:fldChar w:fldCharType="end"/>
        </w:r>
      </w:p>
    </w:sdtContent>
  </w:sdt>
  <w:p w:rsidR="00BA1259" w:rsidRDefault="00BA1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78" w:rsidRDefault="002B1C78" w:rsidP="00126300">
      <w:r>
        <w:separator/>
      </w:r>
    </w:p>
  </w:footnote>
  <w:footnote w:type="continuationSeparator" w:id="0">
    <w:p w:rsidR="002B1C78" w:rsidRDefault="002B1C78" w:rsidP="0012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54"/>
    <w:multiLevelType w:val="hybridMultilevel"/>
    <w:tmpl w:val="41BAF0DC"/>
    <w:lvl w:ilvl="0" w:tplc="C78C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103C2"/>
    <w:multiLevelType w:val="hybridMultilevel"/>
    <w:tmpl w:val="61EAB880"/>
    <w:lvl w:ilvl="0" w:tplc="BF387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56705"/>
    <w:multiLevelType w:val="hybridMultilevel"/>
    <w:tmpl w:val="FD3C9560"/>
    <w:lvl w:ilvl="0" w:tplc="B2502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43CA1"/>
    <w:multiLevelType w:val="hybridMultilevel"/>
    <w:tmpl w:val="F880E38C"/>
    <w:lvl w:ilvl="0" w:tplc="30B85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B0FAA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62246"/>
    <w:multiLevelType w:val="hybridMultilevel"/>
    <w:tmpl w:val="3DF8AF76"/>
    <w:lvl w:ilvl="0" w:tplc="BFFCC536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09576F"/>
    <w:multiLevelType w:val="hybridMultilevel"/>
    <w:tmpl w:val="BF942AD6"/>
    <w:lvl w:ilvl="0" w:tplc="2F20342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7" w15:restartNumberingAfterBreak="0">
    <w:nsid w:val="11B8008C"/>
    <w:multiLevelType w:val="hybridMultilevel"/>
    <w:tmpl w:val="F0C2C590"/>
    <w:lvl w:ilvl="0" w:tplc="1BF84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944D7"/>
    <w:multiLevelType w:val="hybridMultilevel"/>
    <w:tmpl w:val="FD30D5EA"/>
    <w:lvl w:ilvl="0" w:tplc="42809C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3C20CF6"/>
    <w:multiLevelType w:val="hybridMultilevel"/>
    <w:tmpl w:val="53462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202600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9139F"/>
    <w:multiLevelType w:val="hybridMultilevel"/>
    <w:tmpl w:val="76F87792"/>
    <w:lvl w:ilvl="0" w:tplc="E7A0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82127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12435"/>
    <w:multiLevelType w:val="hybridMultilevel"/>
    <w:tmpl w:val="A91C079E"/>
    <w:lvl w:ilvl="0" w:tplc="A21480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214D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187B09"/>
    <w:multiLevelType w:val="hybridMultilevel"/>
    <w:tmpl w:val="5C721C08"/>
    <w:lvl w:ilvl="0" w:tplc="BF387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D7621F"/>
    <w:multiLevelType w:val="hybridMultilevel"/>
    <w:tmpl w:val="BBCE578A"/>
    <w:lvl w:ilvl="0" w:tplc="C4104634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7" w15:restartNumberingAfterBreak="0">
    <w:nsid w:val="4768371A"/>
    <w:multiLevelType w:val="hybridMultilevel"/>
    <w:tmpl w:val="DC183578"/>
    <w:lvl w:ilvl="0" w:tplc="42D6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8440B1C"/>
    <w:multiLevelType w:val="hybridMultilevel"/>
    <w:tmpl w:val="B038CDEC"/>
    <w:lvl w:ilvl="0" w:tplc="70DE59C0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9D652C8"/>
    <w:multiLevelType w:val="hybridMultilevel"/>
    <w:tmpl w:val="D6CC11FC"/>
    <w:lvl w:ilvl="0" w:tplc="4A7E5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4193A"/>
    <w:multiLevelType w:val="hybridMultilevel"/>
    <w:tmpl w:val="7B34F452"/>
    <w:lvl w:ilvl="0" w:tplc="AD4E1F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BAE0C60"/>
    <w:multiLevelType w:val="hybridMultilevel"/>
    <w:tmpl w:val="EF984F28"/>
    <w:lvl w:ilvl="0" w:tplc="260A9AB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B90C8E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E23C62"/>
    <w:multiLevelType w:val="hybridMultilevel"/>
    <w:tmpl w:val="FD3C9560"/>
    <w:lvl w:ilvl="0" w:tplc="B2502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F4173"/>
    <w:multiLevelType w:val="hybridMultilevel"/>
    <w:tmpl w:val="B038CDEC"/>
    <w:lvl w:ilvl="0" w:tplc="70DE59C0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3BE57E6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512957"/>
    <w:multiLevelType w:val="hybridMultilevel"/>
    <w:tmpl w:val="87D09576"/>
    <w:lvl w:ilvl="0" w:tplc="5D225154">
      <w:start w:val="1"/>
      <w:numFmt w:val="decimal"/>
      <w:lvlText w:val="%1."/>
      <w:lvlJc w:val="left"/>
      <w:pPr>
        <w:ind w:left="25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7" w15:restartNumberingAfterBreak="0">
    <w:nsid w:val="5A733901"/>
    <w:multiLevelType w:val="hybridMultilevel"/>
    <w:tmpl w:val="1BEED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53550C"/>
    <w:multiLevelType w:val="hybridMultilevel"/>
    <w:tmpl w:val="B038CDEC"/>
    <w:lvl w:ilvl="0" w:tplc="70DE59C0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D0B4B18"/>
    <w:multiLevelType w:val="hybridMultilevel"/>
    <w:tmpl w:val="3D846F98"/>
    <w:lvl w:ilvl="0" w:tplc="F894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E32941"/>
    <w:multiLevelType w:val="hybridMultilevel"/>
    <w:tmpl w:val="AF04A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16473EA"/>
    <w:multiLevelType w:val="hybridMultilevel"/>
    <w:tmpl w:val="AB763D5E"/>
    <w:lvl w:ilvl="0" w:tplc="8334C26C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774112"/>
    <w:multiLevelType w:val="hybridMultilevel"/>
    <w:tmpl w:val="F998D63E"/>
    <w:lvl w:ilvl="0" w:tplc="003E9DE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6C5737"/>
    <w:multiLevelType w:val="hybridMultilevel"/>
    <w:tmpl w:val="F880E38C"/>
    <w:lvl w:ilvl="0" w:tplc="30B85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E337D0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43530B"/>
    <w:multiLevelType w:val="hybridMultilevel"/>
    <w:tmpl w:val="BF942AD6"/>
    <w:lvl w:ilvl="0" w:tplc="2F20342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36" w15:restartNumberingAfterBreak="0">
    <w:nsid w:val="70AB22DD"/>
    <w:multiLevelType w:val="hybridMultilevel"/>
    <w:tmpl w:val="DDBAAA3A"/>
    <w:lvl w:ilvl="0" w:tplc="1DB6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40561"/>
    <w:multiLevelType w:val="hybridMultilevel"/>
    <w:tmpl w:val="B0F8C248"/>
    <w:lvl w:ilvl="0" w:tplc="FA96DA26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D02841"/>
    <w:multiLevelType w:val="hybridMultilevel"/>
    <w:tmpl w:val="76F87792"/>
    <w:lvl w:ilvl="0" w:tplc="E7A0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96A51"/>
    <w:multiLevelType w:val="hybridMultilevel"/>
    <w:tmpl w:val="CFE29370"/>
    <w:lvl w:ilvl="0" w:tplc="2EBE80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6"/>
  </w:num>
  <w:num w:numId="5">
    <w:abstractNumId w:val="35"/>
  </w:num>
  <w:num w:numId="6">
    <w:abstractNumId w:val="5"/>
  </w:num>
  <w:num w:numId="7">
    <w:abstractNumId w:val="18"/>
  </w:num>
  <w:num w:numId="8">
    <w:abstractNumId w:val="37"/>
  </w:num>
  <w:num w:numId="9">
    <w:abstractNumId w:val="31"/>
  </w:num>
  <w:num w:numId="10">
    <w:abstractNumId w:val="11"/>
  </w:num>
  <w:num w:numId="11">
    <w:abstractNumId w:val="21"/>
  </w:num>
  <w:num w:numId="12">
    <w:abstractNumId w:val="19"/>
  </w:num>
  <w:num w:numId="13">
    <w:abstractNumId w:val="23"/>
  </w:num>
  <w:num w:numId="14">
    <w:abstractNumId w:val="7"/>
  </w:num>
  <w:num w:numId="15">
    <w:abstractNumId w:val="36"/>
  </w:num>
  <w:num w:numId="16">
    <w:abstractNumId w:val="28"/>
  </w:num>
  <w:num w:numId="17">
    <w:abstractNumId w:val="33"/>
  </w:num>
  <w:num w:numId="18">
    <w:abstractNumId w:val="2"/>
  </w:num>
  <w:num w:numId="19">
    <w:abstractNumId w:val="17"/>
  </w:num>
  <w:num w:numId="20">
    <w:abstractNumId w:val="29"/>
  </w:num>
  <w:num w:numId="21">
    <w:abstractNumId w:val="32"/>
  </w:num>
  <w:num w:numId="22">
    <w:abstractNumId w:val="38"/>
  </w:num>
  <w:num w:numId="23">
    <w:abstractNumId w:val="25"/>
  </w:num>
  <w:num w:numId="24">
    <w:abstractNumId w:val="9"/>
  </w:num>
  <w:num w:numId="25">
    <w:abstractNumId w:val="12"/>
  </w:num>
  <w:num w:numId="26">
    <w:abstractNumId w:val="22"/>
  </w:num>
  <w:num w:numId="27">
    <w:abstractNumId w:val="34"/>
  </w:num>
  <w:num w:numId="28">
    <w:abstractNumId w:val="39"/>
  </w:num>
  <w:num w:numId="29">
    <w:abstractNumId w:val="4"/>
  </w:num>
  <w:num w:numId="30">
    <w:abstractNumId w:val="14"/>
  </w:num>
  <w:num w:numId="31">
    <w:abstractNumId w:val="27"/>
  </w:num>
  <w:num w:numId="32">
    <w:abstractNumId w:val="30"/>
  </w:num>
  <w:num w:numId="33">
    <w:abstractNumId w:val="20"/>
  </w:num>
  <w:num w:numId="34">
    <w:abstractNumId w:val="10"/>
  </w:num>
  <w:num w:numId="35">
    <w:abstractNumId w:val="8"/>
  </w:num>
  <w:num w:numId="36">
    <w:abstractNumId w:val="26"/>
  </w:num>
  <w:num w:numId="37">
    <w:abstractNumId w:val="16"/>
  </w:num>
  <w:num w:numId="38">
    <w:abstractNumId w:val="0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54"/>
    <w:rsid w:val="00001CFB"/>
    <w:rsid w:val="00057A91"/>
    <w:rsid w:val="00062E4E"/>
    <w:rsid w:val="00072CFD"/>
    <w:rsid w:val="00073E37"/>
    <w:rsid w:val="000969A7"/>
    <w:rsid w:val="000B08A6"/>
    <w:rsid w:val="000B409A"/>
    <w:rsid w:val="000D460A"/>
    <w:rsid w:val="000D5BC7"/>
    <w:rsid w:val="000D5C50"/>
    <w:rsid w:val="00110467"/>
    <w:rsid w:val="00113A53"/>
    <w:rsid w:val="00126300"/>
    <w:rsid w:val="00130E7F"/>
    <w:rsid w:val="00133438"/>
    <w:rsid w:val="00137FAD"/>
    <w:rsid w:val="00144C79"/>
    <w:rsid w:val="00157E2A"/>
    <w:rsid w:val="00161DA8"/>
    <w:rsid w:val="001979A1"/>
    <w:rsid w:val="001B45D9"/>
    <w:rsid w:val="001C67ED"/>
    <w:rsid w:val="001F1541"/>
    <w:rsid w:val="001F3085"/>
    <w:rsid w:val="00202723"/>
    <w:rsid w:val="00204785"/>
    <w:rsid w:val="00211940"/>
    <w:rsid w:val="0022299C"/>
    <w:rsid w:val="002273F4"/>
    <w:rsid w:val="00250EC3"/>
    <w:rsid w:val="002779B5"/>
    <w:rsid w:val="002969FF"/>
    <w:rsid w:val="002A019A"/>
    <w:rsid w:val="002A430B"/>
    <w:rsid w:val="002A5849"/>
    <w:rsid w:val="002B1C78"/>
    <w:rsid w:val="002D10CD"/>
    <w:rsid w:val="002D13E6"/>
    <w:rsid w:val="002D1A6A"/>
    <w:rsid w:val="002E0625"/>
    <w:rsid w:val="002F1D23"/>
    <w:rsid w:val="00316226"/>
    <w:rsid w:val="00321647"/>
    <w:rsid w:val="003226F8"/>
    <w:rsid w:val="00347677"/>
    <w:rsid w:val="0034778E"/>
    <w:rsid w:val="0035305E"/>
    <w:rsid w:val="0039571B"/>
    <w:rsid w:val="003A0BF4"/>
    <w:rsid w:val="003B73EC"/>
    <w:rsid w:val="003B7814"/>
    <w:rsid w:val="003C36BE"/>
    <w:rsid w:val="003D3C2A"/>
    <w:rsid w:val="003D459D"/>
    <w:rsid w:val="003D769B"/>
    <w:rsid w:val="003E3053"/>
    <w:rsid w:val="003F2E1B"/>
    <w:rsid w:val="00422791"/>
    <w:rsid w:val="004341FA"/>
    <w:rsid w:val="00444AF8"/>
    <w:rsid w:val="00446C37"/>
    <w:rsid w:val="0047240E"/>
    <w:rsid w:val="004747A9"/>
    <w:rsid w:val="00485C22"/>
    <w:rsid w:val="0049086A"/>
    <w:rsid w:val="00491905"/>
    <w:rsid w:val="00495C3B"/>
    <w:rsid w:val="004B7F47"/>
    <w:rsid w:val="004C4107"/>
    <w:rsid w:val="004C4892"/>
    <w:rsid w:val="004C77CF"/>
    <w:rsid w:val="004D3D4D"/>
    <w:rsid w:val="004F0338"/>
    <w:rsid w:val="004F3EA0"/>
    <w:rsid w:val="005020DE"/>
    <w:rsid w:val="0051183D"/>
    <w:rsid w:val="005159AF"/>
    <w:rsid w:val="00534292"/>
    <w:rsid w:val="00536E37"/>
    <w:rsid w:val="005467C7"/>
    <w:rsid w:val="00547038"/>
    <w:rsid w:val="00555D6F"/>
    <w:rsid w:val="005568AF"/>
    <w:rsid w:val="00560094"/>
    <w:rsid w:val="00563F5C"/>
    <w:rsid w:val="00571F7B"/>
    <w:rsid w:val="0058664E"/>
    <w:rsid w:val="00591812"/>
    <w:rsid w:val="005943B3"/>
    <w:rsid w:val="005C5BC0"/>
    <w:rsid w:val="005C78CA"/>
    <w:rsid w:val="005C7A41"/>
    <w:rsid w:val="005D5295"/>
    <w:rsid w:val="005E7CF9"/>
    <w:rsid w:val="005F0CFB"/>
    <w:rsid w:val="00600B21"/>
    <w:rsid w:val="00601F64"/>
    <w:rsid w:val="00602857"/>
    <w:rsid w:val="006077B4"/>
    <w:rsid w:val="0061076F"/>
    <w:rsid w:val="00612957"/>
    <w:rsid w:val="006137B9"/>
    <w:rsid w:val="0061433D"/>
    <w:rsid w:val="00620C85"/>
    <w:rsid w:val="00625041"/>
    <w:rsid w:val="006473CE"/>
    <w:rsid w:val="0066404E"/>
    <w:rsid w:val="00672177"/>
    <w:rsid w:val="0067398E"/>
    <w:rsid w:val="006750CF"/>
    <w:rsid w:val="00675908"/>
    <w:rsid w:val="00683454"/>
    <w:rsid w:val="006A34AD"/>
    <w:rsid w:val="006A4E9D"/>
    <w:rsid w:val="006C0FC5"/>
    <w:rsid w:val="006C1F08"/>
    <w:rsid w:val="006C7F8E"/>
    <w:rsid w:val="006D4D10"/>
    <w:rsid w:val="00702388"/>
    <w:rsid w:val="00703215"/>
    <w:rsid w:val="007131FE"/>
    <w:rsid w:val="0074173F"/>
    <w:rsid w:val="00744765"/>
    <w:rsid w:val="00751D70"/>
    <w:rsid w:val="00752B8F"/>
    <w:rsid w:val="00761306"/>
    <w:rsid w:val="007700B3"/>
    <w:rsid w:val="00791C64"/>
    <w:rsid w:val="007A0EF2"/>
    <w:rsid w:val="007A4E20"/>
    <w:rsid w:val="007A50BA"/>
    <w:rsid w:val="007C18FB"/>
    <w:rsid w:val="007C51B7"/>
    <w:rsid w:val="007E380A"/>
    <w:rsid w:val="007E78F7"/>
    <w:rsid w:val="007F3B39"/>
    <w:rsid w:val="007F6CE5"/>
    <w:rsid w:val="0081665B"/>
    <w:rsid w:val="00816E24"/>
    <w:rsid w:val="0082049C"/>
    <w:rsid w:val="00821DCA"/>
    <w:rsid w:val="008349CB"/>
    <w:rsid w:val="008410C9"/>
    <w:rsid w:val="00841587"/>
    <w:rsid w:val="00843C3E"/>
    <w:rsid w:val="008442CB"/>
    <w:rsid w:val="00845D04"/>
    <w:rsid w:val="008504F1"/>
    <w:rsid w:val="008620C9"/>
    <w:rsid w:val="008636DB"/>
    <w:rsid w:val="00891E17"/>
    <w:rsid w:val="00895E7A"/>
    <w:rsid w:val="008A41E6"/>
    <w:rsid w:val="008A4786"/>
    <w:rsid w:val="008A715F"/>
    <w:rsid w:val="008B09A4"/>
    <w:rsid w:val="008C164C"/>
    <w:rsid w:val="008C2D6F"/>
    <w:rsid w:val="008C4AB7"/>
    <w:rsid w:val="008D2876"/>
    <w:rsid w:val="008D7D9A"/>
    <w:rsid w:val="008E3A80"/>
    <w:rsid w:val="008E3DE9"/>
    <w:rsid w:val="00917CA6"/>
    <w:rsid w:val="009320A0"/>
    <w:rsid w:val="00945927"/>
    <w:rsid w:val="0096611F"/>
    <w:rsid w:val="00974999"/>
    <w:rsid w:val="009823AB"/>
    <w:rsid w:val="00984B9C"/>
    <w:rsid w:val="009B1693"/>
    <w:rsid w:val="009B41A7"/>
    <w:rsid w:val="009D548F"/>
    <w:rsid w:val="009E3FF2"/>
    <w:rsid w:val="009F6961"/>
    <w:rsid w:val="00A032F2"/>
    <w:rsid w:val="00A22219"/>
    <w:rsid w:val="00A92236"/>
    <w:rsid w:val="00A95210"/>
    <w:rsid w:val="00AB5DF3"/>
    <w:rsid w:val="00AC4F6E"/>
    <w:rsid w:val="00AD68D1"/>
    <w:rsid w:val="00AF3D9A"/>
    <w:rsid w:val="00AF727C"/>
    <w:rsid w:val="00B0737A"/>
    <w:rsid w:val="00B23717"/>
    <w:rsid w:val="00B321BB"/>
    <w:rsid w:val="00B35B89"/>
    <w:rsid w:val="00B35DA2"/>
    <w:rsid w:val="00B649E3"/>
    <w:rsid w:val="00B6583C"/>
    <w:rsid w:val="00B8075B"/>
    <w:rsid w:val="00BA0855"/>
    <w:rsid w:val="00BA1259"/>
    <w:rsid w:val="00BA30FD"/>
    <w:rsid w:val="00BB22FD"/>
    <w:rsid w:val="00BB25C2"/>
    <w:rsid w:val="00BB6D4A"/>
    <w:rsid w:val="00BE210F"/>
    <w:rsid w:val="00BE4DD4"/>
    <w:rsid w:val="00BE6C70"/>
    <w:rsid w:val="00BF72F5"/>
    <w:rsid w:val="00C04057"/>
    <w:rsid w:val="00C31921"/>
    <w:rsid w:val="00C32BF7"/>
    <w:rsid w:val="00C331EC"/>
    <w:rsid w:val="00C379BD"/>
    <w:rsid w:val="00C53B79"/>
    <w:rsid w:val="00C60B3E"/>
    <w:rsid w:val="00C61072"/>
    <w:rsid w:val="00C64F87"/>
    <w:rsid w:val="00C66F23"/>
    <w:rsid w:val="00C747EE"/>
    <w:rsid w:val="00C867A5"/>
    <w:rsid w:val="00C90864"/>
    <w:rsid w:val="00CB3C40"/>
    <w:rsid w:val="00CC38C4"/>
    <w:rsid w:val="00CE140A"/>
    <w:rsid w:val="00CE335B"/>
    <w:rsid w:val="00CE7C83"/>
    <w:rsid w:val="00D01555"/>
    <w:rsid w:val="00D158DB"/>
    <w:rsid w:val="00D15F6E"/>
    <w:rsid w:val="00D166F7"/>
    <w:rsid w:val="00D273F3"/>
    <w:rsid w:val="00D275A0"/>
    <w:rsid w:val="00D37916"/>
    <w:rsid w:val="00D41BD7"/>
    <w:rsid w:val="00D5702E"/>
    <w:rsid w:val="00D62C1D"/>
    <w:rsid w:val="00D734EF"/>
    <w:rsid w:val="00D77D59"/>
    <w:rsid w:val="00D900EF"/>
    <w:rsid w:val="00DD541D"/>
    <w:rsid w:val="00DE53A9"/>
    <w:rsid w:val="00DF2854"/>
    <w:rsid w:val="00DF57EF"/>
    <w:rsid w:val="00DF7D9F"/>
    <w:rsid w:val="00E137F2"/>
    <w:rsid w:val="00E211CE"/>
    <w:rsid w:val="00E3005C"/>
    <w:rsid w:val="00E34EBF"/>
    <w:rsid w:val="00E37AEA"/>
    <w:rsid w:val="00E46DBD"/>
    <w:rsid w:val="00E46FD2"/>
    <w:rsid w:val="00E500DF"/>
    <w:rsid w:val="00E52BB3"/>
    <w:rsid w:val="00E5463D"/>
    <w:rsid w:val="00E66BAF"/>
    <w:rsid w:val="00E81728"/>
    <w:rsid w:val="00E868BF"/>
    <w:rsid w:val="00E86F0E"/>
    <w:rsid w:val="00E8798B"/>
    <w:rsid w:val="00E91DEE"/>
    <w:rsid w:val="00EA4916"/>
    <w:rsid w:val="00EB045A"/>
    <w:rsid w:val="00EB2D88"/>
    <w:rsid w:val="00ED2289"/>
    <w:rsid w:val="00EE148B"/>
    <w:rsid w:val="00EE22CD"/>
    <w:rsid w:val="00EF1643"/>
    <w:rsid w:val="00F03A37"/>
    <w:rsid w:val="00F1079E"/>
    <w:rsid w:val="00F11B24"/>
    <w:rsid w:val="00F11D14"/>
    <w:rsid w:val="00F131BD"/>
    <w:rsid w:val="00F229A8"/>
    <w:rsid w:val="00F3709C"/>
    <w:rsid w:val="00F45139"/>
    <w:rsid w:val="00F45FC3"/>
    <w:rsid w:val="00F46C47"/>
    <w:rsid w:val="00F61765"/>
    <w:rsid w:val="00F80EC8"/>
    <w:rsid w:val="00F92CE9"/>
    <w:rsid w:val="00F93387"/>
    <w:rsid w:val="00FA5FD5"/>
    <w:rsid w:val="00FB0670"/>
    <w:rsid w:val="00FC1659"/>
    <w:rsid w:val="00FC510D"/>
    <w:rsid w:val="00FD40A8"/>
    <w:rsid w:val="00FD6018"/>
    <w:rsid w:val="00FE3103"/>
    <w:rsid w:val="00FF0C00"/>
    <w:rsid w:val="00FF3CFC"/>
    <w:rsid w:val="00FF47FF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8C8E4"/>
  <w15:docId w15:val="{8E034881-B5AF-4FBC-9EFA-962FF98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F3085"/>
    <w:pPr>
      <w:keepNext/>
      <w:spacing w:line="480" w:lineRule="exact"/>
      <w:outlineLvl w:val="1"/>
    </w:pPr>
    <w:rPr>
      <w:rFonts w:ascii="標楷體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16E24"/>
    <w:pPr>
      <w:keepNext/>
      <w:spacing w:line="480" w:lineRule="exact"/>
      <w:outlineLvl w:val="2"/>
    </w:pPr>
    <w:rPr>
      <w:rFonts w:ascii="標楷體" w:eastAsia="標楷體" w:hAnsiTheme="majorHAnsi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6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3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300"/>
    <w:rPr>
      <w:sz w:val="20"/>
      <w:szCs w:val="20"/>
    </w:rPr>
  </w:style>
  <w:style w:type="character" w:styleId="a8">
    <w:name w:val="Hyperlink"/>
    <w:uiPriority w:val="99"/>
    <w:rsid w:val="008410C9"/>
    <w:rPr>
      <w:color w:val="0000FF"/>
      <w:u w:val="single"/>
    </w:rPr>
  </w:style>
  <w:style w:type="table" w:styleId="a9">
    <w:name w:val="Table Grid"/>
    <w:basedOn w:val="a1"/>
    <w:uiPriority w:val="59"/>
    <w:rsid w:val="005D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4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491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5467C7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F3E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F3EA0"/>
  </w:style>
  <w:style w:type="character" w:customStyle="1" w:styleId="af">
    <w:name w:val="註解文字 字元"/>
    <w:basedOn w:val="a0"/>
    <w:link w:val="ae"/>
    <w:uiPriority w:val="99"/>
    <w:semiHidden/>
    <w:rsid w:val="004F3EA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3EA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F3EA0"/>
    <w:rPr>
      <w:b/>
      <w:bCs/>
    </w:rPr>
  </w:style>
  <w:style w:type="character" w:customStyle="1" w:styleId="20">
    <w:name w:val="標題 2 字元"/>
    <w:basedOn w:val="a0"/>
    <w:link w:val="2"/>
    <w:uiPriority w:val="9"/>
    <w:rsid w:val="001F3085"/>
    <w:rPr>
      <w:rFonts w:ascii="標楷體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16E24"/>
    <w:rPr>
      <w:rFonts w:ascii="標楷體" w:eastAsia="標楷體" w:hAnsiTheme="majorHAnsi" w:cstheme="majorBidi"/>
      <w:bCs/>
      <w:sz w:val="28"/>
      <w:szCs w:val="36"/>
    </w:rPr>
  </w:style>
  <w:style w:type="character" w:customStyle="1" w:styleId="10">
    <w:name w:val="標題 1 字元"/>
    <w:basedOn w:val="a0"/>
    <w:link w:val="1"/>
    <w:uiPriority w:val="9"/>
    <w:rsid w:val="006759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unhideWhenUsed/>
    <w:qFormat/>
    <w:rsid w:val="00675908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47EE"/>
    <w:pPr>
      <w:tabs>
        <w:tab w:val="right" w:leader="dot" w:pos="8296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0D5C50"/>
    <w:pPr>
      <w:tabs>
        <w:tab w:val="left" w:pos="1200"/>
        <w:tab w:val="right" w:leader="dot" w:pos="8296"/>
      </w:tabs>
      <w:ind w:leftChars="236" w:left="566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675908"/>
    <w:pPr>
      <w:widowControl/>
      <w:spacing w:after="100" w:line="276" w:lineRule="auto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c.ey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02DF-0229-47D9-96B6-D5A66553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盧乃琳</dc:creator>
  <cp:lastModifiedBy>劉欣茹</cp:lastModifiedBy>
  <cp:revision>2</cp:revision>
  <cp:lastPrinted>2019-10-08T01:39:00Z</cp:lastPrinted>
  <dcterms:created xsi:type="dcterms:W3CDTF">2019-10-14T01:14:00Z</dcterms:created>
  <dcterms:modified xsi:type="dcterms:W3CDTF">2019-10-14T01:14:00Z</dcterms:modified>
</cp:coreProperties>
</file>