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6B" w:rsidRDefault="006B3E6B" w:rsidP="00414E14">
      <w:pPr>
        <w:widowControl/>
        <w:spacing w:line="540" w:lineRule="exact"/>
        <w:ind w:leftChars="-500" w:left="1" w:rightChars="-489" w:right="-1174" w:hangingChars="250" w:hanging="1201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A37107">
        <w:rPr>
          <w:rFonts w:ascii="標楷體" w:eastAsia="標楷體" w:hAnsi="標楷體"/>
          <w:b/>
          <w:sz w:val="48"/>
          <w:szCs w:val="48"/>
        </w:rPr>
        <w:t>108-111</w:t>
      </w:r>
      <w:r w:rsidRPr="00A37107">
        <w:rPr>
          <w:rFonts w:ascii="標楷體" w:eastAsia="標楷體" w:hAnsi="標楷體" w:hint="eastAsia"/>
          <w:b/>
          <w:sz w:val="48"/>
          <w:szCs w:val="48"/>
        </w:rPr>
        <w:t>年桃園市大園區公所性別主流化實施計畫</w:t>
      </w:r>
    </w:p>
    <w:p w:rsidR="006B3E6B" w:rsidRPr="00A37107" w:rsidRDefault="006B3E6B" w:rsidP="00414E14">
      <w:pPr>
        <w:widowControl/>
        <w:spacing w:line="540" w:lineRule="exact"/>
        <w:ind w:rightChars="-539" w:right="-1294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 xml:space="preserve">                                                         108</w:t>
      </w:r>
      <w:r>
        <w:rPr>
          <w:rFonts w:ascii="標楷體" w:eastAsia="標楷體" w:hAnsi="標楷體" w:hint="eastAsia"/>
          <w:b/>
          <w:sz w:val="20"/>
          <w:szCs w:val="20"/>
        </w:rPr>
        <w:t>年</w:t>
      </w:r>
      <w:r>
        <w:rPr>
          <w:rFonts w:ascii="標楷體" w:eastAsia="標楷體" w:hAnsi="標楷體"/>
          <w:b/>
          <w:sz w:val="20"/>
          <w:szCs w:val="20"/>
        </w:rPr>
        <w:t>3</w:t>
      </w:r>
      <w:r>
        <w:rPr>
          <w:rFonts w:ascii="標楷體" w:eastAsia="標楷體" w:hAnsi="標楷體" w:hint="eastAsia"/>
          <w:b/>
          <w:sz w:val="20"/>
          <w:szCs w:val="20"/>
        </w:rPr>
        <w:t>月</w:t>
      </w:r>
      <w:r>
        <w:rPr>
          <w:rFonts w:ascii="標楷體" w:eastAsia="標楷體" w:hAnsi="標楷體"/>
          <w:b/>
          <w:sz w:val="20"/>
          <w:szCs w:val="20"/>
        </w:rPr>
        <w:t>22</w:t>
      </w:r>
      <w:r>
        <w:rPr>
          <w:rFonts w:ascii="標楷體" w:eastAsia="標楷體" w:hAnsi="標楷體" w:hint="eastAsia"/>
          <w:b/>
          <w:sz w:val="20"/>
          <w:szCs w:val="20"/>
        </w:rPr>
        <w:t>日人事室簽</w:t>
      </w:r>
      <w:r>
        <w:rPr>
          <w:rFonts w:ascii="標楷體" w:eastAsia="標楷體" w:hAnsi="標楷體"/>
          <w:b/>
          <w:sz w:val="20"/>
          <w:szCs w:val="20"/>
        </w:rPr>
        <w:t>108007825</w:t>
      </w:r>
      <w:r>
        <w:rPr>
          <w:rFonts w:ascii="標楷體" w:eastAsia="標楷體" w:hAnsi="標楷體" w:hint="eastAsia"/>
          <w:b/>
          <w:sz w:val="20"/>
          <w:szCs w:val="20"/>
        </w:rPr>
        <w:t>號訂定</w:t>
      </w:r>
    </w:p>
    <w:p w:rsidR="006B3E6B" w:rsidRDefault="006B3E6B" w:rsidP="0026558C">
      <w:pPr>
        <w:widowControl/>
        <w:spacing w:line="400" w:lineRule="exact"/>
        <w:ind w:rightChars="-589" w:right="-1414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36"/>
          <w:szCs w:val="36"/>
        </w:rPr>
        <w:t xml:space="preserve">                    </w:t>
      </w:r>
      <w:r w:rsidRPr="00A37107">
        <w:rPr>
          <w:rFonts w:ascii="標楷體" w:eastAsia="標楷體" w:hAnsi="標楷體"/>
          <w:b/>
          <w:sz w:val="20"/>
          <w:szCs w:val="20"/>
        </w:rPr>
        <w:t xml:space="preserve"> </w:t>
      </w:r>
      <w:r>
        <w:rPr>
          <w:rFonts w:ascii="標楷體" w:eastAsia="標楷體" w:hAnsi="標楷體"/>
          <w:b/>
          <w:sz w:val="20"/>
          <w:szCs w:val="20"/>
        </w:rPr>
        <w:t xml:space="preserve">           </w:t>
      </w:r>
      <w:r w:rsidRPr="00A37107">
        <w:rPr>
          <w:rFonts w:ascii="標楷體" w:eastAsia="標楷體" w:hAnsi="標楷體"/>
          <w:b/>
          <w:sz w:val="20"/>
          <w:szCs w:val="20"/>
        </w:rPr>
        <w:t>109</w:t>
      </w:r>
      <w:r w:rsidRPr="00A37107">
        <w:rPr>
          <w:rFonts w:ascii="標楷體" w:eastAsia="標楷體" w:hAnsi="標楷體" w:hint="eastAsia"/>
          <w:b/>
          <w:sz w:val="20"/>
          <w:szCs w:val="20"/>
        </w:rPr>
        <w:t>年</w:t>
      </w:r>
      <w:r>
        <w:rPr>
          <w:rFonts w:ascii="標楷體" w:eastAsia="標楷體" w:hAnsi="標楷體"/>
          <w:b/>
          <w:sz w:val="20"/>
          <w:szCs w:val="20"/>
        </w:rPr>
        <w:t>11</w:t>
      </w:r>
      <w:r w:rsidRPr="00A37107">
        <w:rPr>
          <w:rFonts w:ascii="標楷體" w:eastAsia="標楷體" w:hAnsi="標楷體" w:hint="eastAsia"/>
          <w:b/>
          <w:sz w:val="20"/>
          <w:szCs w:val="20"/>
        </w:rPr>
        <w:t>月</w:t>
      </w:r>
      <w:r>
        <w:rPr>
          <w:rFonts w:ascii="標楷體" w:eastAsia="標楷體" w:hAnsi="標楷體"/>
          <w:b/>
          <w:sz w:val="20"/>
          <w:szCs w:val="20"/>
        </w:rPr>
        <w:t>10</w:t>
      </w:r>
      <w:r w:rsidRPr="00A37107">
        <w:rPr>
          <w:rFonts w:ascii="標楷體" w:eastAsia="標楷體" w:hAnsi="標楷體" w:hint="eastAsia"/>
          <w:b/>
          <w:sz w:val="20"/>
          <w:szCs w:val="20"/>
        </w:rPr>
        <w:t>日桃市園社字第</w:t>
      </w:r>
      <w:r w:rsidRPr="00D157FE">
        <w:rPr>
          <w:rFonts w:ascii="標楷體" w:eastAsia="標楷體" w:hAnsi="標楷體" w:cs="Helvetica"/>
          <w:b/>
          <w:color w:val="333333"/>
          <w:sz w:val="20"/>
          <w:szCs w:val="20"/>
        </w:rPr>
        <w:t>1090032950</w:t>
      </w:r>
      <w:r w:rsidRPr="00A37107">
        <w:rPr>
          <w:rFonts w:ascii="標楷體" w:eastAsia="標楷體" w:hAnsi="標楷體" w:hint="eastAsia"/>
          <w:b/>
          <w:sz w:val="20"/>
          <w:szCs w:val="20"/>
        </w:rPr>
        <w:t>號函</w:t>
      </w:r>
      <w:r>
        <w:rPr>
          <w:rFonts w:ascii="標楷體" w:eastAsia="標楷體" w:hAnsi="標楷體" w:hint="eastAsia"/>
          <w:b/>
          <w:sz w:val="20"/>
          <w:szCs w:val="20"/>
        </w:rPr>
        <w:t>修</w:t>
      </w:r>
      <w:r w:rsidRPr="00A37107">
        <w:rPr>
          <w:rFonts w:ascii="標楷體" w:eastAsia="標楷體" w:hAnsi="標楷體" w:hint="eastAsia"/>
          <w:b/>
          <w:sz w:val="20"/>
          <w:szCs w:val="20"/>
        </w:rPr>
        <w:t>正</w:t>
      </w:r>
    </w:p>
    <w:p w:rsidR="006B3E6B" w:rsidRPr="0026558C" w:rsidRDefault="006B3E6B" w:rsidP="0026558C">
      <w:pPr>
        <w:widowControl/>
        <w:spacing w:line="400" w:lineRule="exact"/>
        <w:ind w:rightChars="-589" w:right="-1414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 xml:space="preserve">                                                         109</w:t>
      </w:r>
      <w:r>
        <w:rPr>
          <w:rFonts w:ascii="標楷體" w:eastAsia="標楷體" w:hAnsi="標楷體" w:hint="eastAsia"/>
          <w:b/>
          <w:sz w:val="20"/>
          <w:szCs w:val="20"/>
        </w:rPr>
        <w:t>年○月○日桃園市政府性別平等會備查</w:t>
      </w:r>
    </w:p>
    <w:p w:rsidR="006B3E6B" w:rsidRPr="001A7941" w:rsidRDefault="006B3E6B" w:rsidP="00653EFE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EC2EEB">
        <w:rPr>
          <w:rFonts w:ascii="標楷體" w:eastAsia="標楷體" w:hAnsi="標楷體" w:hint="eastAsia"/>
          <w:b/>
          <w:sz w:val="28"/>
          <w:szCs w:val="28"/>
        </w:rPr>
        <w:t>依據</w:t>
      </w:r>
      <w:r w:rsidRPr="00C2300B">
        <w:rPr>
          <w:rFonts w:ascii="標楷體" w:eastAsia="標楷體" w:hAnsi="標楷體" w:hint="eastAsia"/>
          <w:sz w:val="28"/>
          <w:szCs w:val="28"/>
        </w:rPr>
        <w:t>：依</w:t>
      </w:r>
      <w:r w:rsidRPr="00C2300B">
        <w:rPr>
          <w:rFonts w:ascii="標楷體" w:eastAsia="標楷體" w:hAnsi="標楷體"/>
          <w:sz w:val="28"/>
          <w:szCs w:val="28"/>
        </w:rPr>
        <w:t>108-111</w:t>
      </w:r>
      <w:r w:rsidRPr="00C2300B">
        <w:rPr>
          <w:rFonts w:ascii="標楷體" w:eastAsia="標楷體" w:hAnsi="標楷體" w:hint="eastAsia"/>
          <w:sz w:val="28"/>
          <w:szCs w:val="28"/>
        </w:rPr>
        <w:t>年桃園市政府推動各區公所性別主流化實施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1A7941">
        <w:rPr>
          <w:rFonts w:ascii="標楷體" w:eastAsia="標楷體" w:hAnsi="標楷體" w:hint="eastAsia"/>
          <w:sz w:val="28"/>
          <w:szCs w:val="28"/>
        </w:rPr>
        <w:t>訂定本</w:t>
      </w:r>
      <w:r w:rsidRPr="001A7941">
        <w:rPr>
          <w:rFonts w:ascii="標楷體" w:eastAsia="標楷體" w:hAnsi="標楷體"/>
          <w:sz w:val="28"/>
          <w:szCs w:val="28"/>
        </w:rPr>
        <w:t xml:space="preserve"> 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</w:t>
      </w:r>
      <w:r w:rsidRPr="001A7941">
        <w:rPr>
          <w:rFonts w:ascii="標楷體" w:eastAsia="標楷體" w:hAnsi="標楷體" w:hint="eastAsia"/>
          <w:sz w:val="28"/>
          <w:szCs w:val="28"/>
        </w:rPr>
        <w:t>計畫。</w:t>
      </w:r>
    </w:p>
    <w:p w:rsidR="006B3E6B" w:rsidRPr="001A7941" w:rsidRDefault="006B3E6B" w:rsidP="004F1797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hanging="927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計畫目標：</w:t>
      </w:r>
      <w:r w:rsidRPr="001A794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B3E6B" w:rsidRPr="001A7941" w:rsidRDefault="006B3E6B" w:rsidP="004F1797">
      <w:pPr>
        <w:pStyle w:val="2"/>
        <w:widowControl/>
        <w:numPr>
          <w:ilvl w:val="0"/>
          <w:numId w:val="5"/>
        </w:numPr>
        <w:tabs>
          <w:tab w:val="left" w:pos="360"/>
        </w:tabs>
        <w:spacing w:line="460" w:lineRule="exact"/>
        <w:ind w:leftChars="0" w:left="360" w:rightChars="-439" w:right="-1054" w:hanging="60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加強性別觀點融入桃園市大園區公所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以下簡稱本公所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各項業務，強化「消除對婦女一切形式歧視公約」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以下簡稱</w:t>
      </w:r>
      <w:r w:rsidRPr="001A7941">
        <w:rPr>
          <w:rFonts w:ascii="標楷體" w:eastAsia="標楷體" w:hAnsi="標楷體"/>
          <w:sz w:val="28"/>
          <w:szCs w:val="28"/>
        </w:rPr>
        <w:t>CEDAW)</w:t>
      </w:r>
      <w:r w:rsidRPr="001A7941">
        <w:rPr>
          <w:rFonts w:ascii="標楷體" w:eastAsia="標楷體" w:hAnsi="標楷體" w:hint="eastAsia"/>
          <w:sz w:val="28"/>
          <w:szCs w:val="28"/>
        </w:rPr>
        <w:t>及相關性別平等政策、措施規劃、執行與評估，進而達成實質性別平等目標。</w:t>
      </w:r>
    </w:p>
    <w:p w:rsidR="006B3E6B" w:rsidRPr="001A7941" w:rsidRDefault="006B3E6B" w:rsidP="004F1797">
      <w:pPr>
        <w:pStyle w:val="2"/>
        <w:widowControl/>
        <w:numPr>
          <w:ilvl w:val="0"/>
          <w:numId w:val="5"/>
        </w:numPr>
        <w:tabs>
          <w:tab w:val="left" w:pos="360"/>
        </w:tabs>
        <w:spacing w:line="460" w:lineRule="exact"/>
        <w:ind w:leftChars="0" w:left="360" w:rightChars="-439" w:right="-1054" w:hanging="60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加強本所各單位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課室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使用性別主強化工具，依權管業務內容，落實性別平等政策。</w:t>
      </w:r>
    </w:p>
    <w:p w:rsidR="006B3E6B" w:rsidRPr="001A7941" w:rsidRDefault="006B3E6B" w:rsidP="004F1797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執行對象：</w:t>
      </w:r>
      <w:r w:rsidRPr="001A7941">
        <w:rPr>
          <w:rFonts w:ascii="標楷體" w:eastAsia="標楷體" w:hAnsi="標楷體" w:hint="eastAsia"/>
          <w:sz w:val="28"/>
          <w:szCs w:val="28"/>
        </w:rPr>
        <w:t>本公所各課室及轄區民眾。</w:t>
      </w:r>
    </w:p>
    <w:p w:rsidR="006B3E6B" w:rsidRPr="001A7941" w:rsidRDefault="006B3E6B" w:rsidP="004F1797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Pr="001A7941">
        <w:rPr>
          <w:rFonts w:ascii="標楷體" w:eastAsia="標楷體" w:hAnsi="標楷體"/>
          <w:sz w:val="28"/>
          <w:szCs w:val="28"/>
        </w:rPr>
        <w:t>108</w:t>
      </w:r>
      <w:r w:rsidRPr="001A7941">
        <w:rPr>
          <w:rFonts w:ascii="標楷體" w:eastAsia="標楷體" w:hAnsi="標楷體" w:hint="eastAsia"/>
          <w:sz w:val="28"/>
          <w:szCs w:val="28"/>
        </w:rPr>
        <w:t>年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月至</w:t>
      </w:r>
      <w:r w:rsidRPr="001A7941">
        <w:rPr>
          <w:rFonts w:ascii="標楷體" w:eastAsia="標楷體" w:hAnsi="標楷體"/>
          <w:sz w:val="28"/>
          <w:szCs w:val="28"/>
        </w:rPr>
        <w:t>111</w:t>
      </w:r>
      <w:r w:rsidRPr="001A7941">
        <w:rPr>
          <w:rFonts w:ascii="標楷體" w:eastAsia="標楷體" w:hAnsi="標楷體" w:hint="eastAsia"/>
          <w:sz w:val="28"/>
          <w:szCs w:val="28"/>
        </w:rPr>
        <w:t>年</w:t>
      </w:r>
      <w:r w:rsidRPr="001A7941">
        <w:rPr>
          <w:rFonts w:ascii="標楷體" w:eastAsia="標楷體" w:hAnsi="標楷體"/>
          <w:sz w:val="28"/>
          <w:szCs w:val="28"/>
        </w:rPr>
        <w:t>12</w:t>
      </w:r>
      <w:r w:rsidRPr="001A7941">
        <w:rPr>
          <w:rFonts w:ascii="標楷體" w:eastAsia="標楷體" w:hAnsi="標楷體" w:hint="eastAsia"/>
          <w:sz w:val="28"/>
          <w:szCs w:val="28"/>
        </w:rPr>
        <w:t>月。</w:t>
      </w:r>
    </w:p>
    <w:p w:rsidR="006B3E6B" w:rsidRPr="001A7941" w:rsidRDefault="006B3E6B" w:rsidP="004F1797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439" w:right="-1054" w:hanging="927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實施策略與措施：</w:t>
      </w:r>
    </w:p>
    <w:p w:rsidR="006B3E6B" w:rsidRPr="001A7941" w:rsidRDefault="006B3E6B" w:rsidP="004F1797">
      <w:pPr>
        <w:pStyle w:val="2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48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推動體制：</w:t>
      </w:r>
    </w:p>
    <w:p w:rsidR="006B3E6B" w:rsidRPr="001A7941" w:rsidRDefault="006B3E6B" w:rsidP="004F1797">
      <w:pPr>
        <w:pStyle w:val="2"/>
        <w:widowControl/>
        <w:numPr>
          <w:ilvl w:val="0"/>
          <w:numId w:val="21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成立本所性別平等專案小組：成立任一性別比例不得少於三分之一之性別平等專案小組。由區長為召集人，主任秘書為副召集人，並邀集課室主管以上人員、性別議題聯絡人，及本所具性別平等資格之人員擔任內聘委員，共同成立專案小組。</w:t>
      </w:r>
    </w:p>
    <w:p w:rsidR="006B3E6B" w:rsidRPr="001A7941" w:rsidRDefault="006B3E6B" w:rsidP="004F1797">
      <w:pPr>
        <w:pStyle w:val="2"/>
        <w:widowControl/>
        <w:numPr>
          <w:ilvl w:val="0"/>
          <w:numId w:val="21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性別議題聯絡人及性別議題代理聯絡人：指派課長以上層級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人擔任聯絡人，另指派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人擔任代理聯絡人，負責本所性別主流化業務聯絡窗口。</w:t>
      </w:r>
    </w:p>
    <w:p w:rsidR="006B3E6B" w:rsidRPr="001A7941" w:rsidRDefault="006B3E6B" w:rsidP="004F1797">
      <w:pPr>
        <w:pStyle w:val="2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定期召開會議：</w:t>
      </w:r>
    </w:p>
    <w:p w:rsidR="006B3E6B" w:rsidRPr="001A7941" w:rsidRDefault="006B3E6B" w:rsidP="004F1797">
      <w:pPr>
        <w:pStyle w:val="2"/>
        <w:widowControl/>
        <w:numPr>
          <w:ilvl w:val="0"/>
          <w:numId w:val="26"/>
        </w:numPr>
        <w:tabs>
          <w:tab w:val="left" w:pos="360"/>
        </w:tabs>
        <w:spacing w:line="460" w:lineRule="exact"/>
        <w:ind w:leftChars="0" w:left="960" w:rightChars="-439" w:right="-1054" w:hanging="60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每年定期於</w:t>
      </w:r>
      <w:r w:rsidRPr="001A7941">
        <w:rPr>
          <w:rFonts w:ascii="標楷體" w:eastAsia="標楷體" w:hAnsi="標楷體"/>
          <w:sz w:val="28"/>
          <w:szCs w:val="28"/>
        </w:rPr>
        <w:t>3</w:t>
      </w:r>
      <w:r w:rsidRPr="001A7941">
        <w:rPr>
          <w:rFonts w:ascii="標楷體" w:eastAsia="標楷體" w:hAnsi="標楷體" w:hint="eastAsia"/>
          <w:sz w:val="28"/>
          <w:szCs w:val="28"/>
        </w:rPr>
        <w:t>至</w:t>
      </w:r>
      <w:r w:rsidRPr="001A7941">
        <w:rPr>
          <w:rFonts w:ascii="標楷體" w:eastAsia="標楷體" w:hAnsi="標楷體"/>
          <w:sz w:val="28"/>
          <w:szCs w:val="28"/>
        </w:rPr>
        <w:t>4</w:t>
      </w:r>
      <w:r w:rsidRPr="001A7941">
        <w:rPr>
          <w:rFonts w:ascii="標楷體" w:eastAsia="標楷體" w:hAnsi="標楷體" w:hint="eastAsia"/>
          <w:sz w:val="28"/>
          <w:szCs w:val="28"/>
        </w:rPr>
        <w:t>月間召開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次定期會議，並提報性別主流化推動組備查，必要時得召開臨時會議。</w:t>
      </w:r>
    </w:p>
    <w:p w:rsidR="006B3E6B" w:rsidRPr="001A7941" w:rsidRDefault="006B3E6B" w:rsidP="004F1797">
      <w:pPr>
        <w:pStyle w:val="2"/>
        <w:widowControl/>
        <w:numPr>
          <w:ilvl w:val="0"/>
          <w:numId w:val="26"/>
        </w:numPr>
        <w:tabs>
          <w:tab w:val="left" w:pos="360"/>
        </w:tabs>
        <w:spacing w:line="460" w:lineRule="exact"/>
        <w:ind w:leftChars="0" w:left="960" w:rightChars="-439" w:right="-1054" w:hanging="60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成果評估：於次年</w:t>
      </w:r>
      <w:r w:rsidRPr="001A7941">
        <w:rPr>
          <w:rFonts w:ascii="標楷體" w:eastAsia="標楷體" w:hAnsi="標楷體"/>
          <w:sz w:val="28"/>
          <w:szCs w:val="28"/>
        </w:rPr>
        <w:t>4</w:t>
      </w:r>
      <w:r w:rsidRPr="001A7941">
        <w:rPr>
          <w:rFonts w:ascii="標楷體" w:eastAsia="標楷體" w:hAnsi="標楷體" w:hint="eastAsia"/>
          <w:sz w:val="28"/>
          <w:szCs w:val="28"/>
        </w:rPr>
        <w:t>月底前須提報前一年度成果報告，並提報性別主流化推動組審議通過後，再提報最近一次性平會備查。</w:t>
      </w:r>
    </w:p>
    <w:p w:rsidR="006B3E6B" w:rsidRPr="001A7941" w:rsidRDefault="006B3E6B" w:rsidP="004F1797">
      <w:pPr>
        <w:pStyle w:val="2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辦理性別意識培力訓練：</w:t>
      </w:r>
    </w:p>
    <w:p w:rsidR="006B3E6B" w:rsidRPr="001A7941" w:rsidRDefault="006B3E6B" w:rsidP="004F1797">
      <w:pPr>
        <w:pStyle w:val="4"/>
        <w:widowControl/>
        <w:numPr>
          <w:ilvl w:val="0"/>
          <w:numId w:val="27"/>
        </w:numPr>
        <w:tabs>
          <w:tab w:val="left" w:pos="360"/>
        </w:tabs>
        <w:spacing w:line="460" w:lineRule="exact"/>
        <w:ind w:leftChars="0" w:rightChars="-439" w:right="-1054" w:hanging="803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一般公務人員、主管人員：</w:t>
      </w:r>
    </w:p>
    <w:p w:rsidR="006B3E6B" w:rsidRPr="001A7941" w:rsidRDefault="006B3E6B" w:rsidP="004F1797">
      <w:pPr>
        <w:pStyle w:val="2"/>
        <w:widowControl/>
        <w:numPr>
          <w:ilvl w:val="0"/>
          <w:numId w:val="9"/>
        </w:numPr>
        <w:tabs>
          <w:tab w:val="left" w:pos="480"/>
        </w:tabs>
        <w:spacing w:line="460" w:lineRule="exact"/>
        <w:ind w:leftChars="-1" w:left="-2" w:rightChars="-439" w:right="-1054" w:firstLineChars="343" w:firstLine="96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以專題演講、網絡研習、工作坊、電影賞析或讀書會等各種方式</w:t>
      </w:r>
      <w:r w:rsidRPr="001A7941">
        <w:rPr>
          <w:rFonts w:ascii="標楷體" w:eastAsia="標楷體" w:hAnsi="標楷體"/>
          <w:sz w:val="28"/>
          <w:szCs w:val="28"/>
        </w:rPr>
        <w:t xml:space="preserve">   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辦理。一般公務人員及主管人員，每年應完成至少</w:t>
      </w:r>
      <w:r w:rsidRPr="001A7941">
        <w:rPr>
          <w:rFonts w:ascii="標楷體" w:eastAsia="標楷體" w:hAnsi="標楷體"/>
          <w:sz w:val="28"/>
          <w:szCs w:val="28"/>
        </w:rPr>
        <w:t>2</w:t>
      </w:r>
      <w:r w:rsidRPr="001A7941">
        <w:rPr>
          <w:rFonts w:ascii="標楷體" w:eastAsia="標楷體" w:hAnsi="標楷體" w:hint="eastAsia"/>
          <w:sz w:val="28"/>
          <w:szCs w:val="28"/>
        </w:rPr>
        <w:t>小時之性別</w:t>
      </w:r>
      <w:r w:rsidRPr="001A7941">
        <w:rPr>
          <w:rFonts w:ascii="標楷體" w:eastAsia="標楷體" w:hAnsi="標楷體"/>
          <w:sz w:val="28"/>
          <w:szCs w:val="28"/>
        </w:rPr>
        <w:t xml:space="preserve">   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主流化課程訓練及</w:t>
      </w:r>
      <w:r w:rsidRPr="001A7941">
        <w:rPr>
          <w:rFonts w:ascii="標楷體" w:eastAsia="標楷體" w:hAnsi="標楷體"/>
          <w:sz w:val="28"/>
          <w:szCs w:val="28"/>
        </w:rPr>
        <w:t>2</w:t>
      </w:r>
      <w:r w:rsidRPr="001A7941">
        <w:rPr>
          <w:rFonts w:ascii="標楷體" w:eastAsia="標楷體" w:hAnsi="標楷體" w:hint="eastAsia"/>
          <w:sz w:val="28"/>
          <w:szCs w:val="28"/>
        </w:rPr>
        <w:t>小時</w:t>
      </w:r>
      <w:r w:rsidRPr="001A7941">
        <w:rPr>
          <w:rFonts w:ascii="標楷體" w:eastAsia="標楷體" w:hAnsi="標楷體"/>
          <w:sz w:val="28"/>
          <w:szCs w:val="28"/>
        </w:rPr>
        <w:t>CEDAW</w:t>
      </w:r>
      <w:r w:rsidRPr="001A7941">
        <w:rPr>
          <w:rFonts w:ascii="標楷體" w:eastAsia="標楷體" w:hAnsi="標楷體" w:hint="eastAsia"/>
          <w:sz w:val="28"/>
          <w:szCs w:val="28"/>
        </w:rPr>
        <w:t>實體課程。</w:t>
      </w:r>
    </w:p>
    <w:p w:rsidR="006B3E6B" w:rsidRPr="001A7941" w:rsidRDefault="006B3E6B" w:rsidP="004F1797">
      <w:pPr>
        <w:pStyle w:val="2"/>
        <w:widowControl/>
        <w:numPr>
          <w:ilvl w:val="0"/>
          <w:numId w:val="9"/>
        </w:numPr>
        <w:tabs>
          <w:tab w:val="left" w:pos="360"/>
        </w:tabs>
        <w:spacing w:line="460" w:lineRule="exact"/>
        <w:ind w:leftChars="-1" w:left="-2" w:rightChars="-439" w:right="-1054" w:firstLineChars="343" w:firstLine="96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依不同職級及業務人員屬性規劃課程內容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如一般人員、主管人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員、機關首長、性別平等業務相關人員等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薦送參加本府辦理性別</w:t>
      </w:r>
      <w:r w:rsidRPr="001A7941">
        <w:rPr>
          <w:rFonts w:ascii="標楷體" w:eastAsia="標楷體" w:hAnsi="標楷體"/>
          <w:sz w:val="28"/>
          <w:szCs w:val="28"/>
        </w:rPr>
        <w:t xml:space="preserve">  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相關課程。</w:t>
      </w:r>
    </w:p>
    <w:p w:rsidR="006B3E6B" w:rsidRPr="001A7941" w:rsidRDefault="006B3E6B" w:rsidP="004F1797">
      <w:pPr>
        <w:pStyle w:val="2"/>
        <w:widowControl/>
        <w:numPr>
          <w:ilvl w:val="0"/>
          <w:numId w:val="9"/>
        </w:numPr>
        <w:tabs>
          <w:tab w:val="left" w:pos="360"/>
        </w:tabs>
        <w:spacing w:line="460" w:lineRule="exact"/>
        <w:ind w:leftChars="-1" w:left="-2" w:rightChars="-439" w:right="-1054" w:firstLineChars="343" w:firstLine="96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性別主流化課程訓練依「各機關公務員性別主流化訓練計畫」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規劃之基礎課程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例如：性別平等政策概論、性別意識一般通論、</w:t>
      </w:r>
      <w:r w:rsidRPr="001A7941">
        <w:rPr>
          <w:rFonts w:ascii="標楷體" w:eastAsia="標楷體" w:hAnsi="標楷體"/>
          <w:sz w:val="28"/>
          <w:szCs w:val="28"/>
        </w:rPr>
        <w:t xml:space="preserve">         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消除對婦女一切形式歧視公約</w:t>
      </w:r>
      <w:r w:rsidRPr="001A7941">
        <w:rPr>
          <w:rFonts w:ascii="標楷體" w:eastAsia="標楷體" w:hAnsi="標楷體"/>
          <w:sz w:val="28"/>
          <w:szCs w:val="28"/>
        </w:rPr>
        <w:t>(CEDAW)</w:t>
      </w:r>
      <w:r w:rsidRPr="001A7941">
        <w:rPr>
          <w:rFonts w:ascii="標楷體" w:eastAsia="標楷體" w:hAnsi="標楷體" w:hint="eastAsia"/>
          <w:sz w:val="28"/>
          <w:szCs w:val="28"/>
        </w:rPr>
        <w:t>導論等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及進階課程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性別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主流化工具與實例運用、性別平等政策綱領各領域專案研討、婦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女一切形式歧視公約</w:t>
      </w:r>
      <w:r w:rsidRPr="001A7941">
        <w:rPr>
          <w:rFonts w:ascii="標楷體" w:eastAsia="標楷體" w:hAnsi="標楷體"/>
          <w:sz w:val="28"/>
          <w:szCs w:val="28"/>
        </w:rPr>
        <w:t>(CEDAW)</w:t>
      </w:r>
      <w:r w:rsidRPr="001A7941">
        <w:rPr>
          <w:rFonts w:ascii="標楷體" w:eastAsia="標楷體" w:hAnsi="標楷體" w:hint="eastAsia"/>
          <w:sz w:val="28"/>
          <w:szCs w:val="28"/>
        </w:rPr>
        <w:t>實務及案例研討等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辦理。</w:t>
      </w:r>
      <w:r w:rsidRPr="001A7941">
        <w:rPr>
          <w:rFonts w:ascii="標楷體" w:eastAsia="標楷體" w:hAnsi="標楷體"/>
          <w:sz w:val="28"/>
          <w:szCs w:val="28"/>
        </w:rPr>
        <w:t xml:space="preserve"> </w:t>
      </w:r>
    </w:p>
    <w:p w:rsidR="006B3E6B" w:rsidRPr="001A7941" w:rsidRDefault="006B3E6B" w:rsidP="004F1797">
      <w:pPr>
        <w:pStyle w:val="2"/>
        <w:widowControl/>
        <w:numPr>
          <w:ilvl w:val="0"/>
          <w:numId w:val="9"/>
        </w:numPr>
        <w:tabs>
          <w:tab w:val="left" w:pos="360"/>
        </w:tabs>
        <w:spacing w:line="460" w:lineRule="exact"/>
        <w:ind w:leftChars="-1" w:left="-2" w:rightChars="-439" w:right="-1054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/>
          <w:sz w:val="28"/>
          <w:szCs w:val="28"/>
        </w:rPr>
        <w:t>CEDAW</w:t>
      </w:r>
      <w:r w:rsidRPr="001A7941">
        <w:rPr>
          <w:rFonts w:ascii="標楷體" w:eastAsia="標楷體" w:hAnsi="標楷體" w:hint="eastAsia"/>
          <w:sz w:val="28"/>
          <w:szCs w:val="28"/>
        </w:rPr>
        <w:t>實體課程依「消除對婦女一切形式歧視公約</w:t>
      </w:r>
      <w:r w:rsidRPr="001A7941">
        <w:rPr>
          <w:rFonts w:ascii="標楷體" w:eastAsia="標楷體" w:hAnsi="標楷體"/>
          <w:sz w:val="28"/>
          <w:szCs w:val="28"/>
        </w:rPr>
        <w:t>(CEDAW)</w:t>
      </w:r>
      <w:r w:rsidRPr="001A7941">
        <w:rPr>
          <w:rFonts w:ascii="標楷體" w:eastAsia="標楷體" w:hAnsi="標楷體" w:hint="eastAsia"/>
          <w:sz w:val="28"/>
          <w:szCs w:val="28"/>
        </w:rPr>
        <w:t>教育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訓練及宣導計畫</w:t>
      </w:r>
      <w:r w:rsidRPr="001A7941">
        <w:rPr>
          <w:rFonts w:ascii="標楷體" w:eastAsia="標楷體" w:hAnsi="標楷體"/>
          <w:sz w:val="28"/>
          <w:szCs w:val="28"/>
        </w:rPr>
        <w:t xml:space="preserve">(109-112 </w:t>
      </w:r>
      <w:r w:rsidRPr="001A7941">
        <w:rPr>
          <w:rFonts w:ascii="標楷體" w:eastAsia="標楷體" w:hAnsi="標楷體" w:hint="eastAsia"/>
          <w:sz w:val="28"/>
          <w:szCs w:val="28"/>
        </w:rPr>
        <w:t>年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」之訓練內容辦理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不含</w:t>
      </w:r>
      <w:r w:rsidRPr="001A7941">
        <w:rPr>
          <w:rFonts w:ascii="標楷體" w:eastAsia="標楷體" w:hAnsi="標楷體"/>
          <w:sz w:val="28"/>
          <w:szCs w:val="28"/>
        </w:rPr>
        <w:t xml:space="preserve"> CEDAW</w:t>
      </w:r>
      <w:r w:rsidRPr="001A7941">
        <w:rPr>
          <w:rFonts w:ascii="標楷體" w:eastAsia="標楷體" w:hAnsi="標楷體" w:hint="eastAsia"/>
          <w:sz w:val="28"/>
          <w:szCs w:val="28"/>
        </w:rPr>
        <w:t>概論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課程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，例如：直接歧視、間接歧視及交叉歧視、暫行特別措施、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各機關業務與</w:t>
      </w:r>
      <w:r w:rsidRPr="001A7941">
        <w:rPr>
          <w:rFonts w:ascii="標楷體" w:eastAsia="標楷體" w:hAnsi="標楷體"/>
          <w:sz w:val="28"/>
          <w:szCs w:val="28"/>
        </w:rPr>
        <w:t xml:space="preserve"> CEDAW </w:t>
      </w:r>
      <w:r w:rsidRPr="001A7941">
        <w:rPr>
          <w:rFonts w:ascii="標楷體" w:eastAsia="標楷體" w:hAnsi="標楷體" w:hint="eastAsia"/>
          <w:sz w:val="28"/>
          <w:szCs w:val="28"/>
        </w:rPr>
        <w:t>關聯性、如何運用</w:t>
      </w:r>
      <w:r w:rsidRPr="001A7941">
        <w:rPr>
          <w:rFonts w:ascii="標楷體" w:eastAsia="標楷體" w:hAnsi="標楷體"/>
          <w:sz w:val="28"/>
          <w:szCs w:val="28"/>
        </w:rPr>
        <w:t xml:space="preserve"> CEDAW </w:t>
      </w:r>
      <w:r w:rsidRPr="001A7941">
        <w:rPr>
          <w:rFonts w:ascii="標楷體" w:eastAsia="標楷體" w:hAnsi="標楷體" w:hint="eastAsia"/>
          <w:sz w:val="28"/>
          <w:szCs w:val="28"/>
        </w:rPr>
        <w:t>於機關業務及施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政、</w:t>
      </w:r>
      <w:r w:rsidRPr="001A7941">
        <w:rPr>
          <w:rFonts w:ascii="標楷體" w:eastAsia="標楷體" w:hAnsi="標楷體"/>
          <w:sz w:val="28"/>
          <w:szCs w:val="28"/>
        </w:rPr>
        <w:t xml:space="preserve"> </w:t>
      </w:r>
      <w:r w:rsidRPr="001A7941">
        <w:rPr>
          <w:rFonts w:ascii="標楷體" w:eastAsia="標楷體" w:hAnsi="標楷體" w:hint="eastAsia"/>
          <w:sz w:val="28"/>
          <w:szCs w:val="28"/>
        </w:rPr>
        <w:t>引用</w:t>
      </w:r>
      <w:r w:rsidRPr="001A7941">
        <w:rPr>
          <w:rFonts w:ascii="標楷體" w:eastAsia="標楷體" w:hAnsi="標楷體"/>
          <w:sz w:val="28"/>
          <w:szCs w:val="28"/>
        </w:rPr>
        <w:t xml:space="preserve"> CEDAW </w:t>
      </w:r>
      <w:r w:rsidRPr="001A7941">
        <w:rPr>
          <w:rFonts w:ascii="標楷體" w:eastAsia="標楷體" w:hAnsi="標楷體" w:hint="eastAsia"/>
          <w:sz w:val="28"/>
          <w:szCs w:val="28"/>
        </w:rPr>
        <w:t>指引、多元性別權益等（需符合終身學習課程</w:t>
      </w:r>
      <w:r w:rsidRPr="001A7941">
        <w:rPr>
          <w:rFonts w:ascii="標楷體" w:eastAsia="標楷體" w:hAnsi="標楷體"/>
          <w:sz w:val="28"/>
          <w:szCs w:val="28"/>
        </w:rPr>
        <w:br/>
        <w:t xml:space="preserve">          </w:t>
      </w:r>
      <w:r w:rsidRPr="001A7941">
        <w:rPr>
          <w:rFonts w:ascii="標楷體" w:eastAsia="標楷體" w:hAnsi="標楷體" w:hint="eastAsia"/>
          <w:sz w:val="28"/>
          <w:szCs w:val="28"/>
        </w:rPr>
        <w:t>代碼</w:t>
      </w:r>
      <w:r w:rsidRPr="001A7941">
        <w:rPr>
          <w:rFonts w:ascii="標楷體" w:eastAsia="標楷體" w:hAnsi="標楷體"/>
          <w:sz w:val="28"/>
          <w:szCs w:val="28"/>
        </w:rPr>
        <w:t xml:space="preserve"> 410 </w:t>
      </w:r>
      <w:r w:rsidRPr="001A7941">
        <w:rPr>
          <w:rFonts w:ascii="標楷體" w:eastAsia="標楷體" w:hAnsi="標楷體" w:hint="eastAsia"/>
          <w:sz w:val="28"/>
          <w:szCs w:val="28"/>
        </w:rPr>
        <w:t>至</w:t>
      </w:r>
      <w:r w:rsidRPr="001A7941">
        <w:rPr>
          <w:rFonts w:ascii="標楷體" w:eastAsia="標楷體" w:hAnsi="標楷體"/>
          <w:sz w:val="28"/>
          <w:szCs w:val="28"/>
        </w:rPr>
        <w:t xml:space="preserve"> 413</w:t>
      </w:r>
      <w:r w:rsidRPr="001A7941">
        <w:rPr>
          <w:rFonts w:ascii="標楷體" w:eastAsia="標楷體" w:hAnsi="標楷體" w:hint="eastAsia"/>
          <w:sz w:val="28"/>
          <w:szCs w:val="28"/>
        </w:rPr>
        <w:t>、</w:t>
      </w:r>
      <w:r w:rsidRPr="001A7941">
        <w:rPr>
          <w:rFonts w:ascii="標楷體" w:eastAsia="標楷體" w:hAnsi="標楷體"/>
          <w:sz w:val="28"/>
          <w:szCs w:val="28"/>
        </w:rPr>
        <w:t>516</w:t>
      </w:r>
      <w:r w:rsidRPr="001A7941">
        <w:rPr>
          <w:rFonts w:ascii="標楷體" w:eastAsia="標楷體" w:hAnsi="標楷體" w:hint="eastAsia"/>
          <w:sz w:val="28"/>
          <w:szCs w:val="28"/>
        </w:rPr>
        <w:t>、</w:t>
      </w:r>
      <w:r w:rsidRPr="001A7941">
        <w:rPr>
          <w:rFonts w:ascii="標楷體" w:eastAsia="標楷體" w:hAnsi="標楷體"/>
          <w:sz w:val="28"/>
          <w:szCs w:val="28"/>
        </w:rPr>
        <w:t>517</w:t>
      </w:r>
      <w:r w:rsidRPr="001A7941">
        <w:rPr>
          <w:rFonts w:ascii="標楷體" w:eastAsia="標楷體" w:hAnsi="標楷體" w:hint="eastAsia"/>
          <w:sz w:val="28"/>
          <w:szCs w:val="28"/>
        </w:rPr>
        <w:t>）。</w:t>
      </w:r>
    </w:p>
    <w:p w:rsidR="006B3E6B" w:rsidRPr="001A7941" w:rsidRDefault="006B3E6B" w:rsidP="00CA38CE">
      <w:pPr>
        <w:pStyle w:val="2"/>
        <w:widowControl/>
        <w:numPr>
          <w:ilvl w:val="0"/>
          <w:numId w:val="9"/>
        </w:numPr>
        <w:tabs>
          <w:tab w:val="left" w:pos="360"/>
        </w:tabs>
        <w:spacing w:line="460" w:lineRule="exact"/>
        <w:ind w:leftChars="-1" w:left="-2" w:rightChars="-439" w:right="-1054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本所同仁性別主流化訓練由人事室辦理。</w:t>
      </w:r>
    </w:p>
    <w:p w:rsidR="006B3E6B" w:rsidRPr="001A7941" w:rsidRDefault="006B3E6B" w:rsidP="004F1797">
      <w:pPr>
        <w:pStyle w:val="4"/>
        <w:widowControl/>
        <w:numPr>
          <w:ilvl w:val="0"/>
          <w:numId w:val="27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性別平等業務相關人員：每人每年應參加本府辦理各項性別意識培力課程</w:t>
      </w:r>
      <w:r w:rsidRPr="001A7941">
        <w:rPr>
          <w:rFonts w:ascii="標楷體" w:eastAsia="標楷體" w:hAnsi="標楷體"/>
          <w:sz w:val="28"/>
          <w:szCs w:val="28"/>
        </w:rPr>
        <w:t>10</w:t>
      </w:r>
      <w:r w:rsidRPr="001A7941">
        <w:rPr>
          <w:rFonts w:ascii="標楷體" w:eastAsia="標楷體" w:hAnsi="標楷體" w:hint="eastAsia"/>
          <w:sz w:val="28"/>
          <w:szCs w:val="28"/>
        </w:rPr>
        <w:t>小時以上。</w:t>
      </w:r>
    </w:p>
    <w:p w:rsidR="006B3E6B" w:rsidRPr="001A7941" w:rsidRDefault="006B3E6B" w:rsidP="004F1797">
      <w:pPr>
        <w:pStyle w:val="4"/>
        <w:widowControl/>
        <w:numPr>
          <w:ilvl w:val="0"/>
          <w:numId w:val="27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執行成果：每年依培力成果表分別於</w:t>
      </w:r>
      <w:r w:rsidRPr="001A7941">
        <w:rPr>
          <w:rFonts w:ascii="標楷體" w:eastAsia="標楷體" w:hAnsi="標楷體"/>
          <w:sz w:val="28"/>
          <w:szCs w:val="28"/>
        </w:rPr>
        <w:t>4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7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10</w:t>
      </w:r>
      <w:r w:rsidRPr="001A7941">
        <w:rPr>
          <w:rFonts w:ascii="標楷體" w:eastAsia="標楷體" w:hAnsi="標楷體" w:hint="eastAsia"/>
          <w:sz w:val="28"/>
          <w:szCs w:val="28"/>
        </w:rPr>
        <w:t>月初及次年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月初，提出培力訓練之成果報告。</w:t>
      </w:r>
    </w:p>
    <w:p w:rsidR="006B3E6B" w:rsidRPr="001A7941" w:rsidRDefault="006B3E6B" w:rsidP="004F1797">
      <w:pPr>
        <w:pStyle w:val="2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對民眾推展性別平等宣導：</w:t>
      </w:r>
    </w:p>
    <w:p w:rsidR="006B3E6B" w:rsidRPr="001A7941" w:rsidRDefault="006B3E6B" w:rsidP="004F1797">
      <w:pPr>
        <w:pStyle w:val="4"/>
        <w:widowControl/>
        <w:numPr>
          <w:ilvl w:val="0"/>
          <w:numId w:val="28"/>
        </w:numPr>
        <w:tabs>
          <w:tab w:val="left" w:pos="360"/>
        </w:tabs>
        <w:spacing w:line="460" w:lineRule="exact"/>
        <w:ind w:leftChars="0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本所社會課每年應對民眾辦理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次</w:t>
      </w:r>
      <w:r w:rsidRPr="001A7941">
        <w:rPr>
          <w:rFonts w:ascii="標楷體" w:eastAsia="標楷體" w:hAnsi="標楷體"/>
          <w:sz w:val="28"/>
          <w:szCs w:val="28"/>
        </w:rPr>
        <w:t>CEDAW</w:t>
      </w:r>
      <w:r w:rsidRPr="001A7941">
        <w:rPr>
          <w:rFonts w:ascii="標楷體" w:eastAsia="標楷體" w:hAnsi="標楷體" w:hint="eastAsia"/>
          <w:sz w:val="28"/>
          <w:szCs w:val="28"/>
        </w:rPr>
        <w:t>或性別平等議題之宣導事宜。</w:t>
      </w:r>
    </w:p>
    <w:p w:rsidR="006B3E6B" w:rsidRPr="001A7941" w:rsidRDefault="006B3E6B" w:rsidP="004F1797">
      <w:pPr>
        <w:pStyle w:val="4"/>
        <w:widowControl/>
        <w:numPr>
          <w:ilvl w:val="0"/>
          <w:numId w:val="28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每年依培力成果表分別於</w:t>
      </w:r>
      <w:r w:rsidRPr="001A7941">
        <w:rPr>
          <w:rFonts w:ascii="標楷體" w:eastAsia="標楷體" w:hAnsi="標楷體"/>
          <w:sz w:val="28"/>
          <w:szCs w:val="28"/>
        </w:rPr>
        <w:t>4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7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10</w:t>
      </w:r>
      <w:r w:rsidRPr="001A7941">
        <w:rPr>
          <w:rFonts w:ascii="標楷體" w:eastAsia="標楷體" w:hAnsi="標楷體" w:hint="eastAsia"/>
          <w:sz w:val="28"/>
          <w:szCs w:val="28"/>
        </w:rPr>
        <w:t>月初及次年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月初，提出宣導之成果報告。</w:t>
      </w:r>
    </w:p>
    <w:p w:rsidR="006B3E6B" w:rsidRPr="001A7941" w:rsidRDefault="006B3E6B" w:rsidP="00171C4E">
      <w:pPr>
        <w:pStyle w:val="4"/>
        <w:widowControl/>
        <w:numPr>
          <w:ilvl w:val="0"/>
          <w:numId w:val="28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宣導文宣製作：製作具性別平等意識或</w:t>
      </w:r>
      <w:r w:rsidRPr="001A7941">
        <w:rPr>
          <w:rFonts w:ascii="標楷體" w:eastAsia="標楷體" w:hAnsi="標楷體"/>
          <w:sz w:val="28"/>
          <w:szCs w:val="28"/>
        </w:rPr>
        <w:t>CEDAW</w:t>
      </w:r>
      <w:r w:rsidRPr="001A7941">
        <w:rPr>
          <w:rFonts w:ascii="標楷體" w:eastAsia="標楷體" w:hAnsi="標楷體" w:hint="eastAsia"/>
          <w:sz w:val="28"/>
          <w:szCs w:val="28"/>
        </w:rPr>
        <w:t>概念之文宣，並有宣導內容。</w:t>
      </w:r>
    </w:p>
    <w:p w:rsidR="006B3E6B" w:rsidRPr="001A7941" w:rsidRDefault="006B3E6B" w:rsidP="005E0961">
      <w:pPr>
        <w:pStyle w:val="2"/>
        <w:widowControl/>
        <w:numPr>
          <w:ilvl w:val="0"/>
          <w:numId w:val="25"/>
        </w:numPr>
        <w:tabs>
          <w:tab w:val="left" w:pos="480"/>
        </w:tabs>
        <w:spacing w:line="460" w:lineRule="exact"/>
        <w:ind w:leftChars="0" w:left="480" w:rightChars="-439" w:right="-10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結合局處資源發展在地性別平等方案：本所每年視情形結合局處資源，研擬落實性別平等推展方案。</w:t>
      </w:r>
    </w:p>
    <w:p w:rsidR="006B3E6B" w:rsidRPr="001A7941" w:rsidRDefault="006B3E6B" w:rsidP="004F1797">
      <w:pPr>
        <w:pStyle w:val="2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439" w:right="-1054" w:hanging="927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建置及定期維護性別平等專區網頁：</w:t>
      </w:r>
    </w:p>
    <w:p w:rsidR="006B3E6B" w:rsidRPr="001A7941" w:rsidRDefault="006B3E6B" w:rsidP="005E0961">
      <w:pPr>
        <w:pStyle w:val="4"/>
        <w:widowControl/>
        <w:numPr>
          <w:ilvl w:val="0"/>
          <w:numId w:val="29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辦理內容：本所網頁設置「性別主流化」專區，公開辦理成果及推動</w:t>
      </w:r>
      <w:r w:rsidRPr="001A7941">
        <w:rPr>
          <w:rFonts w:ascii="標楷體" w:eastAsia="標楷體" w:hAnsi="標楷體"/>
          <w:b/>
          <w:sz w:val="28"/>
          <w:szCs w:val="28"/>
        </w:rPr>
        <w:br/>
      </w:r>
      <w:r w:rsidRPr="001A7941">
        <w:rPr>
          <w:rFonts w:ascii="標楷體" w:eastAsia="標楷體" w:hAnsi="標楷體" w:hint="eastAsia"/>
          <w:b/>
          <w:sz w:val="28"/>
          <w:szCs w:val="28"/>
        </w:rPr>
        <w:t>成果等資訊。</w:t>
      </w:r>
    </w:p>
    <w:p w:rsidR="006B3E6B" w:rsidRPr="001A7941" w:rsidRDefault="006B3E6B" w:rsidP="003A6154">
      <w:pPr>
        <w:pStyle w:val="4"/>
        <w:widowControl/>
        <w:numPr>
          <w:ilvl w:val="0"/>
          <w:numId w:val="29"/>
        </w:numPr>
        <w:tabs>
          <w:tab w:val="left" w:pos="360"/>
        </w:tabs>
        <w:spacing w:line="460" w:lineRule="exact"/>
        <w:ind w:leftChars="0" w:left="960" w:rightChars="-439" w:right="-1054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辦理單位：由各辦理性別平等相關訓練活動之課室，經審核後刊登網站，倘有無法刊登問題，由秘書室協助解決。</w:t>
      </w:r>
    </w:p>
    <w:p w:rsidR="006B3E6B" w:rsidRPr="001A7941" w:rsidRDefault="006B3E6B" w:rsidP="004F1797">
      <w:pPr>
        <w:pStyle w:val="2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其他性別平等促進事宜。</w:t>
      </w:r>
    </w:p>
    <w:p w:rsidR="006B3E6B" w:rsidRPr="001A7941" w:rsidRDefault="006B3E6B" w:rsidP="001A7941">
      <w:pPr>
        <w:pStyle w:val="4"/>
        <w:widowControl/>
        <w:numPr>
          <w:ilvl w:val="0"/>
          <w:numId w:val="4"/>
        </w:numPr>
        <w:tabs>
          <w:tab w:val="left" w:pos="360"/>
        </w:tabs>
        <w:spacing w:afterLines="50" w:line="460" w:lineRule="exact"/>
        <w:ind w:leftChars="0" w:left="567" w:rightChars="-439" w:right="-1054" w:hanging="927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經費來源：由本所編列年度預算或由相關經費項下支應。</w:t>
      </w:r>
    </w:p>
    <w:p w:rsidR="006B3E6B" w:rsidRPr="001A7941" w:rsidRDefault="006B3E6B" w:rsidP="001A7941">
      <w:pPr>
        <w:pStyle w:val="4"/>
        <w:widowControl/>
        <w:numPr>
          <w:ilvl w:val="0"/>
          <w:numId w:val="4"/>
        </w:numPr>
        <w:tabs>
          <w:tab w:val="left" w:pos="360"/>
        </w:tabs>
        <w:spacing w:afterLines="50" w:line="460" w:lineRule="exact"/>
        <w:ind w:leftChars="0" w:left="567" w:rightChars="-439" w:right="-1054" w:hanging="927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6B3E6B" w:rsidRPr="001A7941" w:rsidRDefault="006B3E6B" w:rsidP="004F1797">
      <w:pPr>
        <w:pStyle w:val="2"/>
        <w:widowControl/>
        <w:numPr>
          <w:ilvl w:val="0"/>
          <w:numId w:val="30"/>
        </w:numPr>
        <w:tabs>
          <w:tab w:val="left" w:pos="360"/>
        </w:tabs>
        <w:spacing w:line="460" w:lineRule="exact"/>
        <w:ind w:leftChars="0" w:left="709" w:rightChars="-439" w:right="-1054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加強本所同仁及民眾性別平等意識，落實推動性別主流化。</w:t>
      </w:r>
    </w:p>
    <w:p w:rsidR="006B3E6B" w:rsidRPr="001A7941" w:rsidRDefault="006B3E6B" w:rsidP="00171C4E">
      <w:pPr>
        <w:pStyle w:val="2"/>
        <w:widowControl/>
        <w:numPr>
          <w:ilvl w:val="0"/>
          <w:numId w:val="30"/>
        </w:numPr>
        <w:tabs>
          <w:tab w:val="left" w:pos="360"/>
        </w:tabs>
        <w:spacing w:line="460" w:lineRule="exact"/>
        <w:ind w:leftChars="0" w:rightChars="-439" w:right="-1054" w:hanging="1100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將性別觀點融入本所各項政策、方案等，具體展現推動成果。</w:t>
      </w:r>
    </w:p>
    <w:p w:rsidR="006B3E6B" w:rsidRPr="001A7941" w:rsidRDefault="006B3E6B" w:rsidP="001A7941">
      <w:pPr>
        <w:pStyle w:val="4"/>
        <w:widowControl/>
        <w:numPr>
          <w:ilvl w:val="0"/>
          <w:numId w:val="4"/>
        </w:numPr>
        <w:tabs>
          <w:tab w:val="left" w:pos="360"/>
        </w:tabs>
        <w:spacing w:afterLines="50" w:line="460" w:lineRule="exact"/>
        <w:ind w:leftChars="0" w:left="360" w:rightChars="-439" w:right="-1054" w:hanging="720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本實施計畫如有未盡事宜，得隨時修正之，並提報性別主流化推動組審查通過後，再提最近一次性平會備查。</w:t>
      </w:r>
    </w:p>
    <w:p w:rsidR="006B3E6B" w:rsidRPr="001A7941" w:rsidRDefault="006B3E6B" w:rsidP="00D51E21">
      <w:pPr>
        <w:snapToGrid w:val="0"/>
        <w:spacing w:line="360" w:lineRule="exact"/>
      </w:pPr>
    </w:p>
    <w:sectPr w:rsidR="006B3E6B" w:rsidRPr="001A7941" w:rsidSect="00414E14">
      <w:footerReference w:type="default" r:id="rId7"/>
      <w:pgSz w:w="11906" w:h="16838"/>
      <w:pgMar w:top="719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6B" w:rsidRDefault="006B3E6B" w:rsidP="00585377">
      <w:r>
        <w:separator/>
      </w:r>
    </w:p>
  </w:endnote>
  <w:endnote w:type="continuationSeparator" w:id="0">
    <w:p w:rsidR="006B3E6B" w:rsidRDefault="006B3E6B" w:rsidP="0058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6B" w:rsidRDefault="006B3E6B">
    <w:pPr>
      <w:pStyle w:val="Footer"/>
      <w:jc w:val="center"/>
    </w:pPr>
    <w:fldSimple w:instr="PAGE   \* MERGEFORMAT">
      <w:r w:rsidRPr="00D157FE">
        <w:rPr>
          <w:noProof/>
          <w:lang w:val="zh-TW"/>
        </w:rPr>
        <w:t>1</w:t>
      </w:r>
    </w:fldSimple>
  </w:p>
  <w:p w:rsidR="006B3E6B" w:rsidRDefault="006B3E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6B" w:rsidRDefault="006B3E6B" w:rsidP="00585377">
      <w:r>
        <w:separator/>
      </w:r>
    </w:p>
  </w:footnote>
  <w:footnote w:type="continuationSeparator" w:id="0">
    <w:p w:rsidR="006B3E6B" w:rsidRDefault="006B3E6B" w:rsidP="00585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63D"/>
    <w:multiLevelType w:val="hybridMultilevel"/>
    <w:tmpl w:val="0D304F58"/>
    <w:lvl w:ilvl="0" w:tplc="63E008D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1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cs="Times New Roman"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4">
    <w:nsid w:val="12157505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cs="Times New Roman"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5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6222A23"/>
    <w:multiLevelType w:val="hybridMultilevel"/>
    <w:tmpl w:val="E93E7802"/>
    <w:lvl w:ilvl="0" w:tplc="B7642828">
      <w:start w:val="1"/>
      <w:numFmt w:val="taiwaneseCountingThousand"/>
      <w:suff w:val="nothing"/>
      <w:lvlText w:val="%1、"/>
      <w:lvlJc w:val="left"/>
      <w:pPr>
        <w:ind w:left="340" w:hanging="340"/>
      </w:pPr>
      <w:rPr>
        <w:rFonts w:cs="Times New Roman" w:hint="eastAsia"/>
        <w:b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80D3A40"/>
    <w:multiLevelType w:val="hybridMultilevel"/>
    <w:tmpl w:val="668A36A0"/>
    <w:lvl w:ilvl="0" w:tplc="2B4E9ABA">
      <w:start w:val="1"/>
      <w:numFmt w:val="taiwaneseCountingThousand"/>
      <w:suff w:val="nothing"/>
      <w:lvlText w:val="(%1)"/>
      <w:lvlJc w:val="left"/>
      <w:pPr>
        <w:ind w:left="76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2C7C4993"/>
    <w:multiLevelType w:val="hybridMultilevel"/>
    <w:tmpl w:val="8F44D10A"/>
    <w:lvl w:ilvl="0" w:tplc="53F0AB8A">
      <w:start w:val="1"/>
      <w:numFmt w:val="taiwaneseCountingThousand"/>
      <w:lvlText w:val="(%1)."/>
      <w:lvlJc w:val="left"/>
      <w:pPr>
        <w:ind w:left="8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cs="Times New Roman"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  <w:rPr>
        <w:rFonts w:cs="Times New Roman"/>
      </w:rPr>
    </w:lvl>
  </w:abstractNum>
  <w:abstractNum w:abstractNumId="11">
    <w:nsid w:val="37F02731"/>
    <w:multiLevelType w:val="hybridMultilevel"/>
    <w:tmpl w:val="824C3484"/>
    <w:lvl w:ilvl="0" w:tplc="632270D6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AEC3E1D"/>
    <w:multiLevelType w:val="hybridMultilevel"/>
    <w:tmpl w:val="9CD4F6D2"/>
    <w:lvl w:ilvl="0" w:tplc="64DE3160">
      <w:start w:val="1"/>
      <w:numFmt w:val="taiwaneseCountingThousand"/>
      <w:lvlText w:val="(%1)"/>
      <w:lvlJc w:val="left"/>
      <w:pPr>
        <w:ind w:left="860" w:hanging="720"/>
      </w:pPr>
      <w:rPr>
        <w:rFonts w:cs="Times New Roman" w:hint="eastAsia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13">
    <w:nsid w:val="3E4F1B56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14">
    <w:nsid w:val="40646B63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15">
    <w:nsid w:val="41603D5C"/>
    <w:multiLevelType w:val="hybridMultilevel"/>
    <w:tmpl w:val="BBA2C4C2"/>
    <w:lvl w:ilvl="0" w:tplc="27AC6504">
      <w:start w:val="1"/>
      <w:numFmt w:val="taiwaneseCountingThousand"/>
      <w:lvlText w:val="%1、"/>
      <w:lvlJc w:val="left"/>
      <w:pPr>
        <w:ind w:left="480" w:hanging="253"/>
      </w:pPr>
      <w:rPr>
        <w:rFonts w:cs="Times New Roman" w:hint="eastAsia"/>
        <w:b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6">
    <w:nsid w:val="4879058B"/>
    <w:multiLevelType w:val="hybridMultilevel"/>
    <w:tmpl w:val="A9B4CFAE"/>
    <w:lvl w:ilvl="0" w:tplc="208297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AD461B"/>
    <w:multiLevelType w:val="hybridMultilevel"/>
    <w:tmpl w:val="B858C0E6"/>
    <w:lvl w:ilvl="0" w:tplc="D2908BF4">
      <w:start w:val="1"/>
      <w:numFmt w:val="taiwaneseCountingThousand"/>
      <w:lvlText w:val="(%1)."/>
      <w:lvlJc w:val="left"/>
      <w:pPr>
        <w:ind w:left="862" w:hanging="72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>
    <w:nsid w:val="4D893BE3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19">
    <w:nsid w:val="51B84ABE"/>
    <w:multiLevelType w:val="hybridMultilevel"/>
    <w:tmpl w:val="41304888"/>
    <w:lvl w:ilvl="0" w:tplc="AC6A0368">
      <w:start w:val="1"/>
      <w:numFmt w:val="ideographLegalTraditional"/>
      <w:lvlText w:val="%1、"/>
      <w:lvlJc w:val="left"/>
      <w:pPr>
        <w:ind w:left="2324" w:hanging="480"/>
      </w:pPr>
      <w:rPr>
        <w:rFonts w:cs="Times New Roman" w:hint="default"/>
        <w:b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79F2B25"/>
    <w:multiLevelType w:val="hybridMultilevel"/>
    <w:tmpl w:val="9CD4F6D2"/>
    <w:lvl w:ilvl="0" w:tplc="64DE3160">
      <w:start w:val="1"/>
      <w:numFmt w:val="taiwaneseCountingThousand"/>
      <w:lvlText w:val="(%1)"/>
      <w:lvlJc w:val="left"/>
      <w:pPr>
        <w:ind w:left="860" w:hanging="720"/>
      </w:pPr>
      <w:rPr>
        <w:rFonts w:cs="Times New Roman" w:hint="eastAsia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1">
    <w:nsid w:val="58946E13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40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  <w:rPr>
        <w:rFonts w:cs="Times New Roman"/>
      </w:rPr>
    </w:lvl>
  </w:abstractNum>
  <w:abstractNum w:abstractNumId="22">
    <w:nsid w:val="5B481171"/>
    <w:multiLevelType w:val="hybridMultilevel"/>
    <w:tmpl w:val="AC8265E4"/>
    <w:lvl w:ilvl="0" w:tplc="AA4210E0">
      <w:start w:val="1"/>
      <w:numFmt w:val="taiwaneseCountingThousand"/>
      <w:lvlText w:val="(%1)."/>
      <w:lvlJc w:val="left"/>
      <w:pPr>
        <w:ind w:left="8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2DC4DAB"/>
    <w:multiLevelType w:val="hybridMultilevel"/>
    <w:tmpl w:val="D758E788"/>
    <w:lvl w:ilvl="0" w:tplc="7C1E310A">
      <w:start w:val="1"/>
      <w:numFmt w:val="taiwaneseCountingThousand"/>
      <w:lvlText w:val="(%1)"/>
      <w:lvlJc w:val="left"/>
      <w:pPr>
        <w:ind w:left="907" w:hanging="62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24">
    <w:nsid w:val="63FB5606"/>
    <w:multiLevelType w:val="hybridMultilevel"/>
    <w:tmpl w:val="F04AED40"/>
    <w:lvl w:ilvl="0" w:tplc="8FE602EE">
      <w:start w:val="1"/>
      <w:numFmt w:val="taiwaneseCountingThousand"/>
      <w:lvlText w:val="(%1)."/>
      <w:lvlJc w:val="left"/>
      <w:pPr>
        <w:ind w:left="8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8A56116"/>
    <w:multiLevelType w:val="hybridMultilevel"/>
    <w:tmpl w:val="31588BD8"/>
    <w:lvl w:ilvl="0" w:tplc="446EC2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6">
    <w:nsid w:val="7462361F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27">
    <w:nsid w:val="757426F6"/>
    <w:multiLevelType w:val="hybridMultilevel"/>
    <w:tmpl w:val="9C3AF924"/>
    <w:lvl w:ilvl="0" w:tplc="96000E9A">
      <w:start w:val="1"/>
      <w:numFmt w:val="taiwaneseCountingThousand"/>
      <w:lvlText w:val="%1、"/>
      <w:lvlJc w:val="left"/>
      <w:pPr>
        <w:ind w:left="227" w:hanging="8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>
    <w:nsid w:val="77B2457E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29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1"/>
  </w:num>
  <w:num w:numId="4">
    <w:abstractNumId w:val="19"/>
  </w:num>
  <w:num w:numId="5">
    <w:abstractNumId w:val="3"/>
  </w:num>
  <w:num w:numId="6">
    <w:abstractNumId w:val="23"/>
  </w:num>
  <w:num w:numId="7">
    <w:abstractNumId w:val="0"/>
  </w:num>
  <w:num w:numId="8">
    <w:abstractNumId w:val="10"/>
  </w:num>
  <w:num w:numId="9">
    <w:abstractNumId w:val="21"/>
  </w:num>
  <w:num w:numId="10">
    <w:abstractNumId w:val="2"/>
  </w:num>
  <w:num w:numId="11">
    <w:abstractNumId w:val="9"/>
  </w:num>
  <w:num w:numId="12">
    <w:abstractNumId w:val="28"/>
  </w:num>
  <w:num w:numId="13">
    <w:abstractNumId w:val="16"/>
  </w:num>
  <w:num w:numId="14">
    <w:abstractNumId w:val="11"/>
  </w:num>
  <w:num w:numId="15">
    <w:abstractNumId w:val="7"/>
  </w:num>
  <w:num w:numId="16">
    <w:abstractNumId w:val="6"/>
  </w:num>
  <w:num w:numId="17">
    <w:abstractNumId w:val="27"/>
  </w:num>
  <w:num w:numId="18">
    <w:abstractNumId w:val="17"/>
  </w:num>
  <w:num w:numId="19">
    <w:abstractNumId w:val="25"/>
  </w:num>
  <w:num w:numId="20">
    <w:abstractNumId w:val="15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4"/>
  </w:num>
  <w:num w:numId="26">
    <w:abstractNumId w:val="12"/>
  </w:num>
  <w:num w:numId="27">
    <w:abstractNumId w:val="26"/>
  </w:num>
  <w:num w:numId="28">
    <w:abstractNumId w:val="18"/>
  </w:num>
  <w:num w:numId="29">
    <w:abstractNumId w:val="13"/>
  </w:num>
  <w:num w:numId="30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01B"/>
    <w:rsid w:val="000131CA"/>
    <w:rsid w:val="00026B19"/>
    <w:rsid w:val="0003071F"/>
    <w:rsid w:val="00046AE6"/>
    <w:rsid w:val="00087953"/>
    <w:rsid w:val="000A2940"/>
    <w:rsid w:val="000B09CD"/>
    <w:rsid w:val="000D7855"/>
    <w:rsid w:val="000E2522"/>
    <w:rsid w:val="00100732"/>
    <w:rsid w:val="00102ECD"/>
    <w:rsid w:val="00123003"/>
    <w:rsid w:val="00140F56"/>
    <w:rsid w:val="0014301B"/>
    <w:rsid w:val="00162BE6"/>
    <w:rsid w:val="00171C4E"/>
    <w:rsid w:val="00171D04"/>
    <w:rsid w:val="001A7941"/>
    <w:rsid w:val="001C780E"/>
    <w:rsid w:val="002129B4"/>
    <w:rsid w:val="0023747F"/>
    <w:rsid w:val="002379E0"/>
    <w:rsid w:val="00252FBF"/>
    <w:rsid w:val="0026558C"/>
    <w:rsid w:val="00265610"/>
    <w:rsid w:val="00283F86"/>
    <w:rsid w:val="002E0ABB"/>
    <w:rsid w:val="0031357E"/>
    <w:rsid w:val="00326C7A"/>
    <w:rsid w:val="00326E40"/>
    <w:rsid w:val="00361973"/>
    <w:rsid w:val="00375E2C"/>
    <w:rsid w:val="00383B1C"/>
    <w:rsid w:val="0038515F"/>
    <w:rsid w:val="003A6154"/>
    <w:rsid w:val="003B0EDB"/>
    <w:rsid w:val="003F2057"/>
    <w:rsid w:val="003F3F2C"/>
    <w:rsid w:val="003F7DBA"/>
    <w:rsid w:val="004142E1"/>
    <w:rsid w:val="00414E14"/>
    <w:rsid w:val="00420616"/>
    <w:rsid w:val="004650AB"/>
    <w:rsid w:val="004707E2"/>
    <w:rsid w:val="004C49A1"/>
    <w:rsid w:val="004F1797"/>
    <w:rsid w:val="004F5759"/>
    <w:rsid w:val="005078C6"/>
    <w:rsid w:val="00516D37"/>
    <w:rsid w:val="0057677B"/>
    <w:rsid w:val="00585046"/>
    <w:rsid w:val="00585377"/>
    <w:rsid w:val="00594E88"/>
    <w:rsid w:val="005A2489"/>
    <w:rsid w:val="005B2E65"/>
    <w:rsid w:val="005C0797"/>
    <w:rsid w:val="005C614E"/>
    <w:rsid w:val="005E0961"/>
    <w:rsid w:val="00625259"/>
    <w:rsid w:val="00653EFE"/>
    <w:rsid w:val="00662CA4"/>
    <w:rsid w:val="00674F81"/>
    <w:rsid w:val="00681195"/>
    <w:rsid w:val="00697C53"/>
    <w:rsid w:val="006B3E6B"/>
    <w:rsid w:val="006B5AD1"/>
    <w:rsid w:val="00743BD2"/>
    <w:rsid w:val="00785375"/>
    <w:rsid w:val="007A02EA"/>
    <w:rsid w:val="007B3B31"/>
    <w:rsid w:val="007F01EB"/>
    <w:rsid w:val="00800085"/>
    <w:rsid w:val="00825FB1"/>
    <w:rsid w:val="00833F84"/>
    <w:rsid w:val="008525AE"/>
    <w:rsid w:val="00882D34"/>
    <w:rsid w:val="00883F33"/>
    <w:rsid w:val="008B7AA8"/>
    <w:rsid w:val="008F0806"/>
    <w:rsid w:val="00902F59"/>
    <w:rsid w:val="009209B9"/>
    <w:rsid w:val="009354C8"/>
    <w:rsid w:val="009948B5"/>
    <w:rsid w:val="00996728"/>
    <w:rsid w:val="009B524B"/>
    <w:rsid w:val="009E6968"/>
    <w:rsid w:val="009F2552"/>
    <w:rsid w:val="00A271A3"/>
    <w:rsid w:val="00A30FA1"/>
    <w:rsid w:val="00A3426B"/>
    <w:rsid w:val="00A37107"/>
    <w:rsid w:val="00A55124"/>
    <w:rsid w:val="00A62AF4"/>
    <w:rsid w:val="00A67075"/>
    <w:rsid w:val="00A77EC7"/>
    <w:rsid w:val="00A8076B"/>
    <w:rsid w:val="00A8144B"/>
    <w:rsid w:val="00B04D30"/>
    <w:rsid w:val="00B252AE"/>
    <w:rsid w:val="00B43847"/>
    <w:rsid w:val="00B45EA2"/>
    <w:rsid w:val="00B74273"/>
    <w:rsid w:val="00B86B88"/>
    <w:rsid w:val="00B9532F"/>
    <w:rsid w:val="00BA4A48"/>
    <w:rsid w:val="00BD07DF"/>
    <w:rsid w:val="00BE6D16"/>
    <w:rsid w:val="00C02EEE"/>
    <w:rsid w:val="00C059DC"/>
    <w:rsid w:val="00C2300B"/>
    <w:rsid w:val="00C2437B"/>
    <w:rsid w:val="00C71A5E"/>
    <w:rsid w:val="00C81891"/>
    <w:rsid w:val="00CA38CE"/>
    <w:rsid w:val="00D157FE"/>
    <w:rsid w:val="00D43F82"/>
    <w:rsid w:val="00D50344"/>
    <w:rsid w:val="00D51E21"/>
    <w:rsid w:val="00D54C41"/>
    <w:rsid w:val="00D5757C"/>
    <w:rsid w:val="00D76BEC"/>
    <w:rsid w:val="00D978FA"/>
    <w:rsid w:val="00DA3298"/>
    <w:rsid w:val="00DB4191"/>
    <w:rsid w:val="00DB4741"/>
    <w:rsid w:val="00DC4EA0"/>
    <w:rsid w:val="00DC5417"/>
    <w:rsid w:val="00E05542"/>
    <w:rsid w:val="00E119E0"/>
    <w:rsid w:val="00E15347"/>
    <w:rsid w:val="00E1616B"/>
    <w:rsid w:val="00E7020D"/>
    <w:rsid w:val="00EB19A9"/>
    <w:rsid w:val="00EC2EEB"/>
    <w:rsid w:val="00EE4622"/>
    <w:rsid w:val="00F00C50"/>
    <w:rsid w:val="00F04888"/>
    <w:rsid w:val="00F14239"/>
    <w:rsid w:val="00F231CA"/>
    <w:rsid w:val="00F26BD2"/>
    <w:rsid w:val="00F42EC4"/>
    <w:rsid w:val="00F5236A"/>
    <w:rsid w:val="00F7519E"/>
    <w:rsid w:val="00FB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1B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4301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301B"/>
    <w:rPr>
      <w:rFonts w:ascii="標楷體" w:eastAsia="標楷體" w:hAnsi="Cambria" w:cs="Times New Roman"/>
      <w:b/>
      <w:bCs/>
      <w:sz w:val="48"/>
      <w:szCs w:val="48"/>
    </w:rPr>
  </w:style>
  <w:style w:type="character" w:customStyle="1" w:styleId="ListParagraphChar1">
    <w:name w:val="List Paragraph Char1"/>
    <w:link w:val="ListParagraph"/>
    <w:uiPriority w:val="99"/>
    <w:locked/>
    <w:rsid w:val="0014301B"/>
  </w:style>
  <w:style w:type="paragraph" w:styleId="ListParagraph">
    <w:name w:val="List Paragraph"/>
    <w:basedOn w:val="Normal"/>
    <w:link w:val="ListParagraphChar1"/>
    <w:uiPriority w:val="99"/>
    <w:qFormat/>
    <w:rsid w:val="0014301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43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301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43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301B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4301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301B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4301B"/>
    <w:rPr>
      <w:rFonts w:cs="Times New Roman"/>
      <w:color w:val="0000FF"/>
      <w:u w:val="single"/>
    </w:rPr>
  </w:style>
  <w:style w:type="paragraph" w:customStyle="1" w:styleId="1">
    <w:name w:val="清單段落1"/>
    <w:basedOn w:val="Normal"/>
    <w:uiPriority w:val="99"/>
    <w:rsid w:val="0014301B"/>
    <w:pPr>
      <w:ind w:leftChars="200" w:left="480"/>
    </w:pPr>
    <w:rPr>
      <w:rFonts w:cs="Calibri"/>
      <w:szCs w:val="24"/>
    </w:rPr>
  </w:style>
  <w:style w:type="paragraph" w:customStyle="1" w:styleId="2">
    <w:name w:val="清單段落2"/>
    <w:basedOn w:val="Normal"/>
    <w:uiPriority w:val="99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Normal"/>
    <w:uiPriority w:val="99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1430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1430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清單段落4"/>
    <w:basedOn w:val="Normal"/>
    <w:link w:val="ListParagraphChar"/>
    <w:uiPriority w:val="99"/>
    <w:rsid w:val="0014301B"/>
    <w:pPr>
      <w:ind w:leftChars="200" w:left="480"/>
    </w:pPr>
    <w:rPr>
      <w:rFonts w:ascii="Times New Roman" w:hAnsi="Times New Roman"/>
      <w:kern w:val="0"/>
      <w:szCs w:val="20"/>
    </w:rPr>
  </w:style>
  <w:style w:type="character" w:customStyle="1" w:styleId="ListParagraphChar">
    <w:name w:val="List Paragraph Char"/>
    <w:link w:val="4"/>
    <w:uiPriority w:val="99"/>
    <w:locked/>
    <w:rsid w:val="0014301B"/>
    <w:rPr>
      <w:rFonts w:ascii="Times New Roman" w:eastAsia="新細明體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B4384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4384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3847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3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384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43847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3847"/>
    <w:rPr>
      <w:rFonts w:ascii="Calibri" w:eastAsia="新細明體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384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292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108-111年桃園市大園區公所性別主流化實施計畫</dc:title>
  <dc:subject/>
  <dc:creator>劉作耘</dc:creator>
  <cp:keywords/>
  <dc:description/>
  <cp:lastModifiedBy>user</cp:lastModifiedBy>
  <cp:revision>3</cp:revision>
  <cp:lastPrinted>2020-11-09T09:07:00Z</cp:lastPrinted>
  <dcterms:created xsi:type="dcterms:W3CDTF">2020-11-09T09:06:00Z</dcterms:created>
  <dcterms:modified xsi:type="dcterms:W3CDTF">2020-11-09T09:18:00Z</dcterms:modified>
</cp:coreProperties>
</file>