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B3" w:rsidRPr="00BF0384" w:rsidRDefault="00F36EB3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BF0384">
        <w:rPr>
          <w:rFonts w:ascii="Times New Roman" w:eastAsia="標楷體" w:hAnsi="Times New Roman" w:hint="eastAsia"/>
          <w:b/>
          <w:color w:val="000000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 w:hint="eastAsia"/>
          <w:b/>
          <w:color w:val="000000"/>
          <w:sz w:val="36"/>
          <w:szCs w:val="36"/>
        </w:rPr>
        <w:t>桃園市政府性別培力、宣導執行成果表</w:t>
      </w:r>
    </w:p>
    <w:p w:rsidR="00F36EB3" w:rsidRPr="00BF0384" w:rsidRDefault="00F36EB3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F0384">
        <w:rPr>
          <w:rFonts w:ascii="Times New Roman" w:eastAsia="標楷體" w:hAnsi="Times New Roman"/>
          <w:color w:val="000000"/>
        </w:rPr>
        <w:t>(</w:t>
      </w:r>
      <w:r w:rsidRPr="00BF0384">
        <w:rPr>
          <w:rFonts w:ascii="Times New Roman" w:eastAsia="標楷體" w:hAnsi="Times New Roman" w:hint="eastAsia"/>
          <w:color w:val="000000"/>
        </w:rPr>
        <w:t>每課程</w:t>
      </w:r>
      <w:r w:rsidRPr="00BF0384">
        <w:rPr>
          <w:rFonts w:ascii="Times New Roman" w:eastAsia="標楷體" w:hAnsi="Times New Roman"/>
          <w:color w:val="000000"/>
        </w:rPr>
        <w:t>/</w:t>
      </w:r>
      <w:r w:rsidRPr="00BF0384">
        <w:rPr>
          <w:rFonts w:ascii="Times New Roman" w:eastAsia="標楷體" w:hAnsi="Times New Roman" w:hint="eastAsia"/>
          <w:color w:val="000000"/>
        </w:rPr>
        <w:t>活動填報</w:t>
      </w:r>
      <w:r w:rsidRPr="00BF0384">
        <w:rPr>
          <w:rFonts w:ascii="Times New Roman" w:eastAsia="標楷體" w:hAnsi="Times New Roman"/>
          <w:color w:val="000000"/>
        </w:rPr>
        <w:t>1</w:t>
      </w:r>
      <w:r w:rsidRPr="00BF0384">
        <w:rPr>
          <w:rFonts w:ascii="Times New Roman" w:eastAsia="標楷體" w:hAnsi="Times New Roman" w:hint="eastAsia"/>
          <w:color w:val="000000"/>
        </w:rPr>
        <w:t>表</w:t>
      </w:r>
      <w:r w:rsidRPr="00BF0384">
        <w:rPr>
          <w:rFonts w:ascii="Times New Roman" w:eastAsia="標楷體" w:hAnsi="Times New Roman"/>
          <w:color w:val="000000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536"/>
        <w:gridCol w:w="3333"/>
      </w:tblGrid>
      <w:tr w:rsidR="00F36EB3" w:rsidRPr="00BF0384" w:rsidTr="00610BA7">
        <w:trPr>
          <w:trHeight w:val="642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536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F36EB3" w:rsidRPr="00BF0384" w:rsidTr="00610BA7">
        <w:trPr>
          <w:trHeight w:val="958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4536" w:type="dxa"/>
          </w:tcPr>
          <w:p w:rsidR="00F36EB3" w:rsidRPr="00BF0384" w:rsidRDefault="00F36EB3" w:rsidP="00083AC1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政府單位，名稱：</w:t>
            </w:r>
            <w:r w:rsidR="00083AC1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大園區公所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分為政府單位或民間單位</w:t>
            </w:r>
          </w:p>
        </w:tc>
      </w:tr>
      <w:tr w:rsidR="00F36EB3" w:rsidRPr="00BF0384" w:rsidTr="00610BA7">
        <w:trPr>
          <w:trHeight w:val="141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協辦單位</w:t>
            </w:r>
          </w:p>
        </w:tc>
        <w:tc>
          <w:tcPr>
            <w:tcW w:w="4536" w:type="dxa"/>
          </w:tcPr>
          <w:p w:rsidR="00F36EB3" w:rsidRPr="00BF0384" w:rsidRDefault="00F36EB3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F36EB3" w:rsidRPr="00BF0384" w:rsidRDefault="00F36EB3" w:rsidP="00083AC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民間單位，名稱：</w:t>
            </w:r>
            <w:r w:rsidR="00083AC1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青溪婦女協會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分為政府單位或民間單位</w:t>
            </w:r>
          </w:p>
        </w:tc>
      </w:tr>
      <w:tr w:rsidR="00F36EB3" w:rsidRPr="00BF0384" w:rsidTr="00610BA7">
        <w:trPr>
          <w:trHeight w:val="141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4536" w:type="dxa"/>
          </w:tcPr>
          <w:p w:rsidR="00F36EB3" w:rsidRPr="00BF0384" w:rsidRDefault="00CB0829" w:rsidP="001A034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F36EB3" w:rsidRPr="00BF0384" w:rsidRDefault="00F36EB3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141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活動日期</w:t>
            </w:r>
          </w:p>
        </w:tc>
        <w:tc>
          <w:tcPr>
            <w:tcW w:w="4536" w:type="dxa"/>
          </w:tcPr>
          <w:p w:rsidR="00F36EB3" w:rsidRPr="00BF0384" w:rsidRDefault="001A034B" w:rsidP="001A034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0827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610BA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333" w:type="dxa"/>
          </w:tcPr>
          <w:p w:rsidR="00F36EB3" w:rsidRPr="00BF0384" w:rsidRDefault="00F36EB3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141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4536" w:type="dxa"/>
          </w:tcPr>
          <w:p w:rsidR="00F36EB3" w:rsidRPr="00BF0384" w:rsidRDefault="001A034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A034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1A034B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1A034B">
              <w:rPr>
                <w:rFonts w:ascii="標楷體" w:eastAsia="標楷體" w:hAnsi="標楷體" w:hint="eastAsia"/>
                <w:b/>
                <w:sz w:val="28"/>
                <w:szCs w:val="28"/>
              </w:rPr>
              <w:t>年大園區</w:t>
            </w:r>
            <w:r w:rsidRPr="001A034B">
              <w:rPr>
                <w:rFonts w:ascii="標楷體" w:eastAsia="標楷體" w:hAnsi="標楷體" w:cs="Helvetica" w:hint="eastAsia"/>
                <w:b/>
                <w:sz w:val="28"/>
                <w:szCs w:val="28"/>
                <w:shd w:val="clear" w:color="auto" w:fill="FFFFFF"/>
              </w:rPr>
              <w:t>性別平等參訪交流</w:t>
            </w:r>
            <w:r w:rsidRPr="001A034B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1A034B">
              <w:rPr>
                <w:rFonts w:ascii="標楷體" w:eastAsia="標楷體" w:hAnsi="標楷體" w:cs="Helvetica" w:hint="eastAsia"/>
                <w:b/>
                <w:sz w:val="28"/>
                <w:szCs w:val="28"/>
                <w:shd w:val="clear" w:color="auto" w:fill="FFFFFF"/>
              </w:rPr>
              <w:t>活動</w:t>
            </w:r>
          </w:p>
        </w:tc>
        <w:tc>
          <w:tcPr>
            <w:tcW w:w="3333" w:type="dxa"/>
          </w:tcPr>
          <w:p w:rsidR="00F36EB3" w:rsidRPr="00BF0384" w:rsidRDefault="00F36EB3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513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活動對象</w:t>
            </w:r>
          </w:p>
        </w:tc>
        <w:tc>
          <w:tcPr>
            <w:tcW w:w="4536" w:type="dxa"/>
          </w:tcPr>
          <w:p w:rsidR="00F36EB3" w:rsidRPr="00BF0384" w:rsidRDefault="001A034B" w:rsidP="001A034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協會幹部、大園區</w:t>
            </w:r>
            <w:r w:rsidR="00CB08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民眾、公所同仁</w:t>
            </w:r>
          </w:p>
        </w:tc>
        <w:tc>
          <w:tcPr>
            <w:tcW w:w="3333" w:type="dxa"/>
          </w:tcPr>
          <w:p w:rsidR="00F36EB3" w:rsidRPr="00BF0384" w:rsidRDefault="00F36EB3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987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辦理形式</w:t>
            </w:r>
          </w:p>
        </w:tc>
        <w:tc>
          <w:tcPr>
            <w:tcW w:w="4536" w:type="dxa"/>
          </w:tcPr>
          <w:p w:rsidR="00F36EB3" w:rsidRPr="00BF0384" w:rsidRDefault="001A034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動態參訪交流活動</w:t>
            </w:r>
          </w:p>
        </w:tc>
        <w:tc>
          <w:tcPr>
            <w:tcW w:w="3333" w:type="dxa"/>
          </w:tcPr>
          <w:p w:rsidR="00F36EB3" w:rsidRPr="00BF0384" w:rsidRDefault="00F36EB3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141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活動類別</w:t>
            </w:r>
          </w:p>
        </w:tc>
        <w:tc>
          <w:tcPr>
            <w:tcW w:w="4536" w:type="dxa"/>
          </w:tcPr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F36EB3" w:rsidRPr="00BF0384" w:rsidRDefault="00083AC1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sym w:font="Wingdings 2" w:char="F0A2"/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="00F36EB3" w:rsidRPr="00BF0384"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健康、醫療與照顧</w:t>
            </w:r>
            <w:r w:rsidR="00F36EB3" w:rsidRPr="00BF0384"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:rsidR="00F36EB3" w:rsidRPr="00BF0384" w:rsidRDefault="00E7688A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:rsidR="00F36EB3" w:rsidRPr="00BF0384" w:rsidRDefault="00083AC1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sym w:font="Wingdings 2" w:char="F0A2"/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F36EB3" w:rsidRPr="00BF0384" w:rsidRDefault="00083AC1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  <w:sym w:font="Wingdings 2" w:char="F0A2"/>
            </w:r>
            <w:r w:rsidR="00F36EB3" w:rsidRPr="00BF0384">
              <w:rPr>
                <w:rFonts w:ascii="Times New Roman" w:eastAsia="標楷體" w:hAnsi="Times New Roman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:rsidR="00F36EB3" w:rsidRPr="00BF0384" w:rsidRDefault="00E7688A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pacing w:val="24"/>
                <w:kern w:val="0"/>
                <w:sz w:val="28"/>
                <w:szCs w:val="28"/>
              </w:rPr>
              <w:drawing>
                <wp:inline distT="0" distB="0" distL="0" distR="0">
                  <wp:extent cx="241300" cy="233045"/>
                  <wp:effectExtent l="0" t="0" r="635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EB3" w:rsidRPr="00BF0384">
              <w:rPr>
                <w:rFonts w:ascii="Times New Roman" w:eastAsia="標楷體" w:hAnsi="Times New Roman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F36EB3" w:rsidRPr="00E001ED" w:rsidRDefault="00F36EB3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610BA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活動簡介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、效益</w:t>
            </w:r>
          </w:p>
        </w:tc>
        <w:tc>
          <w:tcPr>
            <w:tcW w:w="4536" w:type="dxa"/>
          </w:tcPr>
          <w:p w:rsidR="001A034B" w:rsidRPr="001A034B" w:rsidRDefault="001A034B" w:rsidP="001A034B">
            <w:pPr>
              <w:numPr>
                <w:ilvl w:val="0"/>
                <w:numId w:val="2"/>
              </w:num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讀萬卷書可涵養心性，變化氣質，培養卓越的眼光；行萬里路則可增廣見聞，涵養寬闊的胸襟，具有國際視野，本協會與大園區公所強化互動合作共同辦理本參訪活動，計畫行程參訪台中婦女館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大甲婦女及新住民培力中心，中心</w:t>
            </w:r>
            <w:r w:rsidRP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致力於協助地區弱勢婦女及新住民渡過生活困境與挑戰，並提供自在、休閒和成長的空間，進一步提升婦女權利意識、維護其福利權益，增進家庭功能。</w:t>
            </w:r>
          </w:p>
          <w:p w:rsidR="001A034B" w:rsidRPr="001A034B" w:rsidRDefault="001A034B" w:rsidP="001A034B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為消除性別平等的刻板印象，安排車埕林班道體驗，翻轉女性只能學習家政、男性學習工藝的傳統思維，讓本協會幹部及公所同仁皆可化身小木工，感受手作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DIY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的樂趣，親手製做摺疊木椅，期待在車埕感受鐵道風情的魅力，讓我們擁有性別平等參訪的美好的回憶。</w:t>
            </w:r>
          </w:p>
          <w:p w:rsidR="00F36EB3" w:rsidRPr="00BF0384" w:rsidRDefault="001A034B" w:rsidP="001A034B">
            <w:pPr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參訪苗栗苑裡山腳社區了解當地婦女的編織人生，靠著一雙巧手開創</w:t>
            </w:r>
            <w:r w:rsidRP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社區產業第二春，進而帶動地方產業文化的發展</w:t>
            </w:r>
            <w:r w:rsidRPr="001A034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，</w:t>
            </w:r>
            <w:r w:rsidRP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同時也翻轉傳統重男輕女之性別刻板印象，過去傳統相當重男輕女的觀念在苑裡恰好相反，認為女生會藺編且女性會比男性外出賺錢來得更有價值。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字以內文字描述。</w:t>
            </w: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4536" w:type="dxa"/>
          </w:tcPr>
          <w:p w:rsidR="00F36EB3" w:rsidRPr="00BF0384" w:rsidRDefault="00F36EB3" w:rsidP="001A034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共</w:t>
            </w:r>
            <w:r w:rsid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41</w:t>
            </w:r>
            <w:r w:rsid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，分別為男性：</w:t>
            </w:r>
            <w:r w:rsidR="001A034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人；女性：</w:t>
            </w:r>
            <w:r w:rsidR="00610BA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="001A034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活動以人數為計，非人次。</w:t>
            </w: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相關照片</w:t>
            </w:r>
          </w:p>
        </w:tc>
        <w:tc>
          <w:tcPr>
            <w:tcW w:w="4536" w:type="dxa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請提供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張以上電子檔照片，且須有簡要文字說明。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每張照片說明均為</w:t>
            </w: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字以內。</w:t>
            </w: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相關連結</w:t>
            </w:r>
          </w:p>
        </w:tc>
        <w:tc>
          <w:tcPr>
            <w:tcW w:w="4536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請確認網路連結有效性。</w:t>
            </w:r>
          </w:p>
        </w:tc>
      </w:tr>
      <w:tr w:rsidR="00F36EB3" w:rsidRPr="00BF0384" w:rsidTr="00610BA7">
        <w:trPr>
          <w:trHeight w:val="1249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4536" w:type="dxa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單位名稱：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社會課</w:t>
            </w:r>
          </w:p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聯絡人姓名：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宋沂芳</w:t>
            </w:r>
          </w:p>
          <w:p w:rsidR="00F36EB3" w:rsidRPr="00BF0384" w:rsidRDefault="00F36EB3" w:rsidP="00610BA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聯絡人電話：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3867703</w:t>
            </w:r>
            <w:r w:rsidR="00610BA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*</w:t>
            </w:r>
            <w:r w:rsidR="00610BA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請留意個資，勿填列全名及個人手機。</w:t>
            </w:r>
          </w:p>
        </w:tc>
      </w:tr>
      <w:tr w:rsidR="00F36EB3" w:rsidRPr="00BF0384" w:rsidTr="00610BA7">
        <w:trPr>
          <w:trHeight w:val="842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講師資料</w:t>
            </w:r>
          </w:p>
        </w:tc>
        <w:tc>
          <w:tcPr>
            <w:tcW w:w="4536" w:type="dxa"/>
          </w:tcPr>
          <w:p w:rsidR="00F36EB3" w:rsidRPr="00BF0384" w:rsidRDefault="001A034B" w:rsidP="001A034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A034B">
              <w:rPr>
                <w:rFonts w:ascii="Times New Roman" w:eastAsia="標楷體" w:hAnsi="Times New Roman" w:hint="eastAsia"/>
                <w:sz w:val="28"/>
                <w:szCs w:val="24"/>
              </w:rPr>
              <w:t>台中</w:t>
            </w:r>
            <w:r w:rsidRPr="001A034B">
              <w:rPr>
                <w:rFonts w:ascii="標楷體" w:eastAsia="標楷體" w:hAnsi="標楷體" w:hint="eastAsia"/>
                <w:sz w:val="28"/>
                <w:szCs w:val="28"/>
              </w:rPr>
              <w:t>婦女館-</w:t>
            </w:r>
            <w:r w:rsidRPr="001A034B">
              <w:rPr>
                <w:rFonts w:ascii="Times New Roman" w:eastAsia="標楷體" w:hAnsi="Times New Roman" w:hint="eastAsia"/>
                <w:sz w:val="28"/>
                <w:szCs w:val="24"/>
              </w:rPr>
              <w:t>大甲婦女及新住民培力中心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陳社工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請述明講師及其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稱。</w:t>
            </w: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54298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滿意度分析</w:t>
            </w:r>
          </w:p>
        </w:tc>
        <w:tc>
          <w:tcPr>
            <w:tcW w:w="4536" w:type="dxa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需包含統計分析，且需區分男女。</w:t>
            </w:r>
          </w:p>
        </w:tc>
      </w:tr>
      <w:tr w:rsidR="00F36EB3" w:rsidRPr="00BF0384" w:rsidTr="00610BA7">
        <w:trPr>
          <w:trHeight w:val="778"/>
          <w:jc w:val="center"/>
        </w:trPr>
        <w:tc>
          <w:tcPr>
            <w:tcW w:w="562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4536" w:type="dxa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請附簽到表、講義內容。</w:t>
            </w:r>
          </w:p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:rsidR="00F36EB3" w:rsidRPr="00BF0384" w:rsidRDefault="00F36EB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均檢附電子檔即可。</w:t>
            </w:r>
          </w:p>
        </w:tc>
      </w:tr>
    </w:tbl>
    <w:p w:rsidR="00F36EB3" w:rsidRDefault="00F36EB3" w:rsidP="002127AB">
      <w:pPr>
        <w:widowControl/>
        <w:jc w:val="center"/>
      </w:pPr>
    </w:p>
    <w:sectPr w:rsidR="00F36EB3" w:rsidSect="001A034B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87" w:rsidRDefault="00B45987" w:rsidP="00E7688A">
      <w:r>
        <w:separator/>
      </w:r>
    </w:p>
  </w:endnote>
  <w:endnote w:type="continuationSeparator" w:id="0">
    <w:p w:rsidR="00B45987" w:rsidRDefault="00B45987" w:rsidP="00E7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87" w:rsidRDefault="00B45987" w:rsidP="00E7688A">
      <w:r>
        <w:separator/>
      </w:r>
    </w:p>
  </w:footnote>
  <w:footnote w:type="continuationSeparator" w:id="0">
    <w:p w:rsidR="00B45987" w:rsidRDefault="00B45987" w:rsidP="00E7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CAF"/>
    <w:multiLevelType w:val="hybridMultilevel"/>
    <w:tmpl w:val="515EDF0C"/>
    <w:lvl w:ilvl="0" w:tplc="065AE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02949"/>
    <w:multiLevelType w:val="hybridMultilevel"/>
    <w:tmpl w:val="79E81D58"/>
    <w:lvl w:ilvl="0" w:tplc="4D52B3F0">
      <w:start w:val="1"/>
      <w:numFmt w:val="taiwaneseCountingThousand"/>
      <w:lvlText w:val="(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24B5F"/>
    <w:rsid w:val="0004071D"/>
    <w:rsid w:val="000806A6"/>
    <w:rsid w:val="00083AC1"/>
    <w:rsid w:val="001A034B"/>
    <w:rsid w:val="001C063B"/>
    <w:rsid w:val="001E6C1C"/>
    <w:rsid w:val="002127AB"/>
    <w:rsid w:val="00325F37"/>
    <w:rsid w:val="00446B67"/>
    <w:rsid w:val="005E680C"/>
    <w:rsid w:val="00610BA7"/>
    <w:rsid w:val="008718A1"/>
    <w:rsid w:val="00B45987"/>
    <w:rsid w:val="00B54298"/>
    <w:rsid w:val="00B6382F"/>
    <w:rsid w:val="00BF0384"/>
    <w:rsid w:val="00CB0829"/>
    <w:rsid w:val="00D3651E"/>
    <w:rsid w:val="00DC512D"/>
    <w:rsid w:val="00E001ED"/>
    <w:rsid w:val="00E7688A"/>
    <w:rsid w:val="00ED04AB"/>
    <w:rsid w:val="00F36EB3"/>
    <w:rsid w:val="00F906AA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F66740-F3D6-434A-AB43-CEFDA41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附表2桃園市政府性別培力、宣導執行成果表</dc:title>
  <dc:subject/>
  <dc:creator>張雯婷</dc:creator>
  <cp:keywords/>
  <dc:description/>
  <cp:lastModifiedBy>宋沂芳</cp:lastModifiedBy>
  <cp:revision>3</cp:revision>
  <dcterms:created xsi:type="dcterms:W3CDTF">2022-09-26T01:13:00Z</dcterms:created>
  <dcterms:modified xsi:type="dcterms:W3CDTF">2022-09-26T01:18:00Z</dcterms:modified>
</cp:coreProperties>
</file>