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6B" w:rsidRDefault="006B3E6B" w:rsidP="00414E14">
      <w:pPr>
        <w:widowControl/>
        <w:spacing w:line="540" w:lineRule="exact"/>
        <w:ind w:leftChars="-500" w:left="1" w:rightChars="-489" w:right="-1174" w:hangingChars="250" w:hanging="1201"/>
        <w:jc w:val="center"/>
        <w:rPr>
          <w:rFonts w:ascii="標楷體" w:eastAsia="標楷體" w:hAnsi="標楷體"/>
          <w:b/>
          <w:sz w:val="48"/>
          <w:szCs w:val="48"/>
        </w:rPr>
      </w:pPr>
      <w:r w:rsidRPr="00A37107">
        <w:rPr>
          <w:rFonts w:ascii="標楷體" w:eastAsia="標楷體" w:hAnsi="標楷體"/>
          <w:b/>
          <w:sz w:val="48"/>
          <w:szCs w:val="48"/>
        </w:rPr>
        <w:t>1</w:t>
      </w:r>
      <w:r w:rsidR="00386285">
        <w:rPr>
          <w:rFonts w:ascii="標楷體" w:eastAsia="標楷體" w:hAnsi="標楷體"/>
          <w:b/>
          <w:sz w:val="48"/>
          <w:szCs w:val="48"/>
        </w:rPr>
        <w:t>12</w:t>
      </w:r>
      <w:r w:rsidRPr="00A37107">
        <w:rPr>
          <w:rFonts w:ascii="標楷體" w:eastAsia="標楷體" w:hAnsi="標楷體"/>
          <w:b/>
          <w:sz w:val="48"/>
          <w:szCs w:val="48"/>
        </w:rPr>
        <w:t>-11</w:t>
      </w:r>
      <w:r w:rsidR="00386285">
        <w:rPr>
          <w:rFonts w:ascii="標楷體" w:eastAsia="標楷體" w:hAnsi="標楷體"/>
          <w:b/>
          <w:sz w:val="48"/>
          <w:szCs w:val="48"/>
        </w:rPr>
        <w:t>5</w:t>
      </w:r>
      <w:r w:rsidRPr="00A37107">
        <w:rPr>
          <w:rFonts w:ascii="標楷體" w:eastAsia="標楷體" w:hAnsi="標楷體" w:hint="eastAsia"/>
          <w:b/>
          <w:sz w:val="48"/>
          <w:szCs w:val="48"/>
        </w:rPr>
        <w:t>年桃園市大園區公所性別主流化實施計畫</w:t>
      </w:r>
    </w:p>
    <w:p w:rsidR="00264D2B" w:rsidRPr="00264D2B" w:rsidRDefault="006B3E6B" w:rsidP="00264D2B">
      <w:pPr>
        <w:widowControl/>
        <w:tabs>
          <w:tab w:val="num" w:pos="720"/>
        </w:tabs>
        <w:spacing w:line="540" w:lineRule="exact"/>
        <w:ind w:rightChars="-539" w:right="-1294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              </w:t>
      </w:r>
      <w:r w:rsidR="00264D2B">
        <w:rPr>
          <w:rFonts w:ascii="標楷體" w:eastAsia="標楷體" w:hAnsi="標楷體"/>
          <w:b/>
          <w:sz w:val="20"/>
          <w:szCs w:val="20"/>
        </w:rPr>
        <w:t xml:space="preserve">                            </w:t>
      </w:r>
      <w:r w:rsidR="00264D2B" w:rsidRPr="00264D2B">
        <w:rPr>
          <w:rFonts w:ascii="標楷體" w:eastAsia="標楷體" w:hAnsi="標楷體"/>
          <w:b/>
          <w:sz w:val="20"/>
          <w:szCs w:val="20"/>
        </w:rPr>
        <w:t>中華民國</w:t>
      </w:r>
      <w:r w:rsidR="00264D2B">
        <w:rPr>
          <w:rFonts w:ascii="標楷體" w:eastAsia="標楷體" w:hAnsi="標楷體" w:hint="eastAsia"/>
          <w:b/>
          <w:sz w:val="20"/>
          <w:szCs w:val="20"/>
        </w:rPr>
        <w:t>112年5</w:t>
      </w:r>
      <w:r w:rsidR="00264D2B" w:rsidRPr="00264D2B">
        <w:rPr>
          <w:rFonts w:ascii="標楷體" w:eastAsia="標楷體" w:hAnsi="標楷體"/>
          <w:b/>
          <w:sz w:val="20"/>
          <w:szCs w:val="20"/>
        </w:rPr>
        <w:t>月</w:t>
      </w:r>
      <w:r w:rsidR="00264D2B">
        <w:rPr>
          <w:rFonts w:ascii="標楷體" w:eastAsia="標楷體" w:hAnsi="標楷體" w:hint="eastAsia"/>
          <w:b/>
          <w:sz w:val="20"/>
          <w:szCs w:val="20"/>
        </w:rPr>
        <w:t>1</w:t>
      </w:r>
      <w:r w:rsidR="00264D2B" w:rsidRPr="00264D2B">
        <w:rPr>
          <w:rFonts w:ascii="標楷體" w:eastAsia="標楷體" w:hAnsi="標楷體"/>
          <w:b/>
          <w:sz w:val="20"/>
          <w:szCs w:val="20"/>
        </w:rPr>
        <w:t>日桃</w:t>
      </w:r>
      <w:proofErr w:type="gramStart"/>
      <w:r w:rsidR="00264D2B" w:rsidRPr="00264D2B">
        <w:rPr>
          <w:rFonts w:ascii="標楷體" w:eastAsia="標楷體" w:hAnsi="標楷體"/>
          <w:b/>
          <w:sz w:val="20"/>
          <w:szCs w:val="20"/>
        </w:rPr>
        <w:t>市園社字</w:t>
      </w:r>
      <w:proofErr w:type="gramEnd"/>
      <w:r w:rsidR="00264D2B" w:rsidRPr="00264D2B">
        <w:rPr>
          <w:rFonts w:ascii="標楷體" w:eastAsia="標楷體" w:hAnsi="標楷體"/>
          <w:b/>
          <w:sz w:val="20"/>
          <w:szCs w:val="20"/>
        </w:rPr>
        <w:t>第1120011391號</w:t>
      </w:r>
      <w:r w:rsidR="00264D2B">
        <w:rPr>
          <w:rFonts w:ascii="標楷體" w:eastAsia="標楷體" w:hAnsi="標楷體" w:hint="eastAsia"/>
          <w:b/>
          <w:sz w:val="20"/>
          <w:szCs w:val="20"/>
        </w:rPr>
        <w:t>函頒</w:t>
      </w:r>
    </w:p>
    <w:p w:rsidR="006B3E6B" w:rsidRPr="0026558C" w:rsidRDefault="006B3E6B" w:rsidP="0026558C">
      <w:pPr>
        <w:widowControl/>
        <w:spacing w:line="400" w:lineRule="exact"/>
        <w:ind w:rightChars="-589" w:right="-1414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        </w:t>
      </w:r>
      <w:r w:rsidRPr="00A37107">
        <w:rPr>
          <w:rFonts w:ascii="標楷體" w:eastAsia="標楷體" w:hAnsi="標楷體"/>
          <w:b/>
          <w:sz w:val="20"/>
          <w:szCs w:val="20"/>
        </w:rPr>
        <w:t xml:space="preserve"> </w:t>
      </w:r>
      <w:r>
        <w:rPr>
          <w:rFonts w:ascii="標楷體" w:eastAsia="標楷體" w:hAnsi="標楷體"/>
          <w:b/>
          <w:sz w:val="20"/>
          <w:szCs w:val="20"/>
        </w:rPr>
        <w:t xml:space="preserve">    </w:t>
      </w:r>
      <w:r w:rsidR="00264D2B">
        <w:rPr>
          <w:rFonts w:ascii="標楷體" w:eastAsia="標楷體" w:hAnsi="標楷體"/>
          <w:b/>
          <w:sz w:val="20"/>
          <w:szCs w:val="20"/>
        </w:rPr>
        <w:t xml:space="preserve">        </w:t>
      </w:r>
      <w:bookmarkStart w:id="0" w:name="_GoBack"/>
      <w:bookmarkEnd w:id="0"/>
      <w:r w:rsidR="00264D2B">
        <w:rPr>
          <w:rFonts w:ascii="標楷體" w:eastAsia="標楷體" w:hAnsi="標楷體"/>
          <w:b/>
          <w:sz w:val="20"/>
          <w:szCs w:val="20"/>
        </w:rPr>
        <w:t xml:space="preserve"> </w:t>
      </w:r>
      <w:r w:rsidR="00264D2B">
        <w:rPr>
          <w:rFonts w:ascii="標楷體" w:eastAsia="標楷體" w:hAnsi="標楷體" w:hint="eastAsia"/>
          <w:b/>
          <w:sz w:val="20"/>
          <w:szCs w:val="20"/>
        </w:rPr>
        <w:t>中華民國</w:t>
      </w:r>
      <w:r>
        <w:rPr>
          <w:rFonts w:ascii="標楷體" w:eastAsia="標楷體" w:hAnsi="標楷體"/>
          <w:b/>
          <w:sz w:val="20"/>
          <w:szCs w:val="20"/>
        </w:rPr>
        <w:t>1</w:t>
      </w:r>
      <w:r w:rsidR="00386285">
        <w:rPr>
          <w:rFonts w:ascii="標楷體" w:eastAsia="標楷體" w:hAnsi="標楷體"/>
          <w:b/>
          <w:sz w:val="20"/>
          <w:szCs w:val="20"/>
        </w:rPr>
        <w:t>12</w:t>
      </w:r>
      <w:r>
        <w:rPr>
          <w:rFonts w:ascii="標楷體" w:eastAsia="標楷體" w:hAnsi="標楷體" w:hint="eastAsia"/>
          <w:b/>
          <w:sz w:val="20"/>
          <w:szCs w:val="20"/>
        </w:rPr>
        <w:t>年</w:t>
      </w:r>
      <w:r w:rsidR="00264D2B">
        <w:rPr>
          <w:rFonts w:ascii="標楷體" w:eastAsia="標楷體" w:hAnsi="標楷體" w:hint="eastAsia"/>
          <w:b/>
          <w:sz w:val="20"/>
          <w:szCs w:val="20"/>
        </w:rPr>
        <w:t>5</w:t>
      </w:r>
      <w:r>
        <w:rPr>
          <w:rFonts w:ascii="標楷體" w:eastAsia="標楷體" w:hAnsi="標楷體" w:hint="eastAsia"/>
          <w:b/>
          <w:sz w:val="20"/>
          <w:szCs w:val="20"/>
        </w:rPr>
        <w:t>月</w:t>
      </w:r>
      <w:r w:rsidR="00264D2B">
        <w:rPr>
          <w:rFonts w:ascii="標楷體" w:eastAsia="標楷體" w:hAnsi="標楷體" w:hint="eastAsia"/>
          <w:b/>
          <w:sz w:val="20"/>
          <w:szCs w:val="20"/>
        </w:rPr>
        <w:t>2</w:t>
      </w:r>
      <w:r>
        <w:rPr>
          <w:rFonts w:ascii="標楷體" w:eastAsia="標楷體" w:hAnsi="標楷體" w:hint="eastAsia"/>
          <w:b/>
          <w:sz w:val="20"/>
          <w:szCs w:val="20"/>
        </w:rPr>
        <w:t>日</w:t>
      </w:r>
      <w:r w:rsidR="00264D2B">
        <w:rPr>
          <w:rFonts w:ascii="標楷體" w:eastAsia="標楷體" w:hAnsi="標楷體" w:hint="eastAsia"/>
          <w:b/>
          <w:sz w:val="20"/>
          <w:szCs w:val="20"/>
        </w:rPr>
        <w:t>函發</w:t>
      </w:r>
      <w:r>
        <w:rPr>
          <w:rFonts w:ascii="標楷體" w:eastAsia="標楷體" w:hAnsi="標楷體" w:hint="eastAsia"/>
          <w:b/>
          <w:sz w:val="20"/>
          <w:szCs w:val="20"/>
        </w:rPr>
        <w:t>桃園市政府性別平等會備查</w:t>
      </w:r>
    </w:p>
    <w:p w:rsidR="006B3E6B" w:rsidRPr="001A7941" w:rsidRDefault="006B3E6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EC2EEB">
        <w:rPr>
          <w:rFonts w:ascii="標楷體" w:eastAsia="標楷體" w:hAnsi="標楷體" w:hint="eastAsia"/>
          <w:b/>
          <w:sz w:val="28"/>
          <w:szCs w:val="28"/>
        </w:rPr>
        <w:t>依據</w:t>
      </w:r>
      <w:r w:rsidRPr="00C2300B">
        <w:rPr>
          <w:rFonts w:ascii="標楷體" w:eastAsia="標楷體" w:hAnsi="標楷體" w:hint="eastAsia"/>
          <w:sz w:val="28"/>
          <w:szCs w:val="28"/>
        </w:rPr>
        <w:t>：</w:t>
      </w:r>
      <w:r w:rsidRPr="00C2300B">
        <w:rPr>
          <w:rFonts w:ascii="標楷體" w:eastAsia="標楷體" w:hAnsi="標楷體"/>
          <w:sz w:val="28"/>
          <w:szCs w:val="28"/>
        </w:rPr>
        <w:t>1</w:t>
      </w:r>
      <w:r w:rsidR="00386285">
        <w:rPr>
          <w:rFonts w:ascii="標楷體" w:eastAsia="標楷體" w:hAnsi="標楷體"/>
          <w:sz w:val="28"/>
          <w:szCs w:val="28"/>
        </w:rPr>
        <w:t>12</w:t>
      </w:r>
      <w:r w:rsidRPr="00C2300B">
        <w:rPr>
          <w:rFonts w:ascii="標楷體" w:eastAsia="標楷體" w:hAnsi="標楷體"/>
          <w:sz w:val="28"/>
          <w:szCs w:val="28"/>
        </w:rPr>
        <w:t>-11</w:t>
      </w:r>
      <w:r w:rsidR="00386285">
        <w:rPr>
          <w:rFonts w:ascii="標楷體" w:eastAsia="標楷體" w:hAnsi="標楷體"/>
          <w:sz w:val="28"/>
          <w:szCs w:val="28"/>
        </w:rPr>
        <w:t>5</w:t>
      </w:r>
      <w:r w:rsidRPr="00C2300B">
        <w:rPr>
          <w:rFonts w:ascii="標楷體" w:eastAsia="標楷體" w:hAnsi="標楷體" w:hint="eastAsia"/>
          <w:sz w:val="28"/>
          <w:szCs w:val="28"/>
        </w:rPr>
        <w:t>年桃園市政府推動各區公所性別主流化實施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1A7941">
        <w:rPr>
          <w:rFonts w:ascii="標楷體" w:eastAsia="標楷體" w:hAnsi="標楷體" w:hint="eastAsia"/>
          <w:sz w:val="28"/>
          <w:szCs w:val="28"/>
        </w:rPr>
        <w:t>訂定</w:t>
      </w:r>
      <w:r w:rsidR="00386285">
        <w:rPr>
          <w:rFonts w:ascii="標楷體" w:eastAsia="標楷體" w:hAnsi="標楷體" w:hint="eastAsia"/>
          <w:sz w:val="28"/>
          <w:szCs w:val="28"/>
        </w:rPr>
        <w:t>。</w:t>
      </w:r>
    </w:p>
    <w:p w:rsidR="006B3E6B" w:rsidRPr="001A7941" w:rsidRDefault="006B3E6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b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計畫目標：</w:t>
      </w:r>
      <w:r w:rsidRPr="001A794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B3E6B" w:rsidRPr="001A7941" w:rsidRDefault="009C6DC5" w:rsidP="00BF4EF4">
      <w:pPr>
        <w:pStyle w:val="21"/>
        <w:widowControl/>
        <w:numPr>
          <w:ilvl w:val="0"/>
          <w:numId w:val="5"/>
        </w:numPr>
        <w:tabs>
          <w:tab w:val="left" w:pos="360"/>
        </w:tabs>
        <w:spacing w:line="460" w:lineRule="exact"/>
        <w:ind w:leftChars="0" w:left="3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強化「消除對婦女一切形式歧視公約」</w:t>
      </w:r>
      <w:r w:rsidR="006B3E6B" w:rsidRPr="001A7941">
        <w:rPr>
          <w:rFonts w:ascii="標楷體" w:eastAsia="標楷體" w:hAnsi="標楷體"/>
          <w:sz w:val="28"/>
          <w:szCs w:val="28"/>
        </w:rPr>
        <w:t>(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以下簡稱</w:t>
      </w:r>
      <w:r w:rsidR="006B3E6B" w:rsidRPr="001A7941">
        <w:rPr>
          <w:rFonts w:ascii="標楷體" w:eastAsia="標楷體" w:hAnsi="標楷體"/>
          <w:sz w:val="28"/>
          <w:szCs w:val="28"/>
        </w:rPr>
        <w:t>CEDAW)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及相關性別平等政策、措施規劃、執行與評估，進而達成實質性別平等目標</w:t>
      </w:r>
      <w:r>
        <w:rPr>
          <w:rFonts w:ascii="標楷體" w:eastAsia="標楷體" w:hAnsi="標楷體" w:hint="eastAsia"/>
          <w:sz w:val="28"/>
          <w:szCs w:val="28"/>
        </w:rPr>
        <w:t>，特訂定本計畫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。</w:t>
      </w:r>
    </w:p>
    <w:p w:rsidR="006B3E6B" w:rsidRPr="001A7941" w:rsidRDefault="006B3E6B" w:rsidP="00BF4EF4">
      <w:pPr>
        <w:pStyle w:val="21"/>
        <w:widowControl/>
        <w:numPr>
          <w:ilvl w:val="0"/>
          <w:numId w:val="5"/>
        </w:numPr>
        <w:tabs>
          <w:tab w:val="left" w:pos="360"/>
        </w:tabs>
        <w:spacing w:line="460" w:lineRule="exact"/>
        <w:ind w:leftChars="0" w:left="3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加強本所各單位</w:t>
      </w:r>
      <w:r w:rsidRPr="001A7941">
        <w:rPr>
          <w:rFonts w:ascii="標楷體" w:eastAsia="標楷體" w:hAnsi="標楷體"/>
          <w:sz w:val="28"/>
          <w:szCs w:val="28"/>
        </w:rPr>
        <w:t>(</w:t>
      </w:r>
      <w:r w:rsidRPr="001A7941">
        <w:rPr>
          <w:rFonts w:ascii="標楷體" w:eastAsia="標楷體" w:hAnsi="標楷體" w:hint="eastAsia"/>
          <w:sz w:val="28"/>
          <w:szCs w:val="28"/>
        </w:rPr>
        <w:t>課室</w:t>
      </w:r>
      <w:r w:rsidRPr="001A7941">
        <w:rPr>
          <w:rFonts w:ascii="標楷體" w:eastAsia="標楷體" w:hAnsi="標楷體"/>
          <w:sz w:val="28"/>
          <w:szCs w:val="28"/>
        </w:rPr>
        <w:t>)</w:t>
      </w:r>
      <w:r w:rsidRPr="001A7941">
        <w:rPr>
          <w:rFonts w:ascii="標楷體" w:eastAsia="標楷體" w:hAnsi="標楷體" w:hint="eastAsia"/>
          <w:sz w:val="28"/>
          <w:szCs w:val="28"/>
        </w:rPr>
        <w:t>使用性別主強化工具，</w:t>
      </w:r>
      <w:proofErr w:type="gramStart"/>
      <w:r w:rsidRPr="001A7941">
        <w:rPr>
          <w:rFonts w:ascii="標楷體" w:eastAsia="標楷體" w:hAnsi="標楷體" w:hint="eastAsia"/>
          <w:sz w:val="28"/>
          <w:szCs w:val="28"/>
        </w:rPr>
        <w:t>依權管</w:t>
      </w:r>
      <w:proofErr w:type="gramEnd"/>
      <w:r w:rsidRPr="001A7941">
        <w:rPr>
          <w:rFonts w:ascii="標楷體" w:eastAsia="標楷體" w:hAnsi="標楷體" w:hint="eastAsia"/>
          <w:sz w:val="28"/>
          <w:szCs w:val="28"/>
        </w:rPr>
        <w:t>業務內容，落實性別平等政策。</w:t>
      </w:r>
    </w:p>
    <w:p w:rsidR="006B3E6B" w:rsidRPr="001A7941" w:rsidRDefault="007B2FEF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="006B3E6B" w:rsidRPr="001A7941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本公所各課室及轄區民眾。</w:t>
      </w:r>
    </w:p>
    <w:p w:rsidR="006B3E6B" w:rsidRPr="001A7941" w:rsidRDefault="006B3E6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="00386285">
        <w:rPr>
          <w:rFonts w:ascii="標楷體" w:eastAsia="標楷體" w:hAnsi="標楷體"/>
          <w:sz w:val="28"/>
          <w:szCs w:val="28"/>
        </w:rPr>
        <w:t>12</w:t>
      </w:r>
      <w:r w:rsidRPr="001A7941">
        <w:rPr>
          <w:rFonts w:ascii="標楷體" w:eastAsia="標楷體" w:hAnsi="標楷體" w:hint="eastAsia"/>
          <w:sz w:val="28"/>
          <w:szCs w:val="28"/>
        </w:rPr>
        <w:t>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</w:t>
      </w:r>
      <w:r w:rsidR="00386285">
        <w:rPr>
          <w:rFonts w:ascii="標楷體" w:eastAsia="標楷體" w:hAnsi="標楷體" w:hint="eastAsia"/>
          <w:sz w:val="28"/>
          <w:szCs w:val="28"/>
        </w:rPr>
        <w:t>1日</w:t>
      </w:r>
      <w:r w:rsidRPr="001A7941">
        <w:rPr>
          <w:rFonts w:ascii="標楷體" w:eastAsia="標楷體" w:hAnsi="標楷體" w:hint="eastAsia"/>
          <w:sz w:val="28"/>
          <w:szCs w:val="28"/>
        </w:rPr>
        <w:t>至</w:t>
      </w:r>
      <w:r w:rsidRPr="001A7941">
        <w:rPr>
          <w:rFonts w:ascii="標楷體" w:eastAsia="標楷體" w:hAnsi="標楷體"/>
          <w:sz w:val="28"/>
          <w:szCs w:val="28"/>
        </w:rPr>
        <w:t>11</w:t>
      </w:r>
      <w:r w:rsidR="00386285">
        <w:rPr>
          <w:rFonts w:ascii="標楷體" w:eastAsia="標楷體" w:hAnsi="標楷體"/>
          <w:sz w:val="28"/>
          <w:szCs w:val="28"/>
        </w:rPr>
        <w:t>5</w:t>
      </w:r>
      <w:r w:rsidRPr="001A7941">
        <w:rPr>
          <w:rFonts w:ascii="標楷體" w:eastAsia="標楷體" w:hAnsi="標楷體" w:hint="eastAsia"/>
          <w:sz w:val="28"/>
          <w:szCs w:val="28"/>
        </w:rPr>
        <w:t>年</w:t>
      </w:r>
      <w:r w:rsidRPr="001A7941">
        <w:rPr>
          <w:rFonts w:ascii="標楷體" w:eastAsia="標楷體" w:hAnsi="標楷體"/>
          <w:sz w:val="28"/>
          <w:szCs w:val="28"/>
        </w:rPr>
        <w:t>12</w:t>
      </w:r>
      <w:r w:rsidRPr="001A7941">
        <w:rPr>
          <w:rFonts w:ascii="標楷體" w:eastAsia="標楷體" w:hAnsi="標楷體" w:hint="eastAsia"/>
          <w:sz w:val="28"/>
          <w:szCs w:val="28"/>
        </w:rPr>
        <w:t>月</w:t>
      </w:r>
      <w:r w:rsidR="00386285">
        <w:rPr>
          <w:rFonts w:ascii="標楷體" w:eastAsia="標楷體" w:hAnsi="標楷體" w:hint="eastAsia"/>
          <w:sz w:val="28"/>
          <w:szCs w:val="28"/>
        </w:rPr>
        <w:t>31日</w:t>
      </w:r>
      <w:r w:rsidRPr="001A7941">
        <w:rPr>
          <w:rFonts w:ascii="標楷體" w:eastAsia="標楷體" w:hAnsi="標楷體" w:hint="eastAsia"/>
          <w:sz w:val="28"/>
          <w:szCs w:val="28"/>
        </w:rPr>
        <w:t>。</w:t>
      </w:r>
    </w:p>
    <w:p w:rsidR="006B3E6B" w:rsidRPr="001A7941" w:rsidRDefault="006B5DD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推動</w:t>
      </w:r>
      <w:r w:rsidR="006B3E6B" w:rsidRPr="001A7941">
        <w:rPr>
          <w:rFonts w:ascii="標楷體" w:eastAsia="標楷體" w:hAnsi="標楷體" w:hint="eastAsia"/>
          <w:b/>
          <w:sz w:val="28"/>
          <w:szCs w:val="28"/>
        </w:rPr>
        <w:t>策略：</w:t>
      </w:r>
    </w:p>
    <w:p w:rsidR="006B3E6B" w:rsidRPr="001A7941" w:rsidRDefault="00651455" w:rsidP="00BF4EF4">
      <w:pPr>
        <w:pStyle w:val="21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480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成立</w:t>
      </w:r>
      <w:r w:rsidRPr="001A7941">
        <w:rPr>
          <w:rFonts w:ascii="標楷體" w:eastAsia="標楷體" w:hAnsi="標楷體" w:hint="eastAsia"/>
          <w:sz w:val="28"/>
          <w:szCs w:val="28"/>
        </w:rPr>
        <w:t>性別平等專案小組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：</w:t>
      </w:r>
    </w:p>
    <w:p w:rsidR="00E610C7" w:rsidRDefault="00651455" w:rsidP="00BF4EF4">
      <w:pPr>
        <w:pStyle w:val="21"/>
        <w:widowControl/>
        <w:numPr>
          <w:ilvl w:val="0"/>
          <w:numId w:val="21"/>
        </w:numPr>
        <w:tabs>
          <w:tab w:val="left" w:pos="360"/>
        </w:tabs>
        <w:spacing w:line="460" w:lineRule="exact"/>
        <w:ind w:leftChars="0" w:left="960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小組成員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：</w:t>
      </w:r>
    </w:p>
    <w:p w:rsidR="00E610C7" w:rsidRDefault="00E610C7" w:rsidP="00BF4EF4">
      <w:pPr>
        <w:pStyle w:val="21"/>
        <w:widowControl/>
        <w:numPr>
          <w:ilvl w:val="1"/>
          <w:numId w:val="21"/>
        </w:numPr>
        <w:tabs>
          <w:tab w:val="left" w:pos="360"/>
        </w:tabs>
        <w:spacing w:line="460" w:lineRule="exact"/>
        <w:ind w:leftChars="0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比例:</w:t>
      </w:r>
      <w:r w:rsidR="006B5DDB" w:rsidRPr="006B5DDB">
        <w:rPr>
          <w:rFonts w:hint="eastAsia"/>
        </w:rPr>
        <w:t xml:space="preserve"> </w:t>
      </w:r>
      <w:r w:rsidR="006B5DDB" w:rsidRPr="006B5DDB">
        <w:rPr>
          <w:rFonts w:ascii="標楷體" w:eastAsia="標楷體" w:hAnsi="標楷體" w:hint="eastAsia"/>
          <w:sz w:val="28"/>
          <w:szCs w:val="28"/>
        </w:rPr>
        <w:t>須符合1/3性別比例原則，並朝40%邁進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。</w:t>
      </w:r>
    </w:p>
    <w:p w:rsidR="006B3E6B" w:rsidRPr="001A7941" w:rsidRDefault="00E610C7" w:rsidP="00BF4EF4">
      <w:pPr>
        <w:pStyle w:val="21"/>
        <w:widowControl/>
        <w:numPr>
          <w:ilvl w:val="1"/>
          <w:numId w:val="21"/>
        </w:numPr>
        <w:tabs>
          <w:tab w:val="left" w:pos="360"/>
        </w:tabs>
        <w:spacing w:line="460" w:lineRule="exact"/>
        <w:ind w:leftChars="0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組成:延聘桃園市各局處或民間性平委員擔任外聘指導委員，另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由區長為召集</w:t>
      </w:r>
      <w:r>
        <w:rPr>
          <w:rFonts w:ascii="標楷體" w:eastAsia="標楷體" w:hAnsi="標楷體" w:hint="eastAsia"/>
          <w:sz w:val="28"/>
          <w:szCs w:val="28"/>
        </w:rPr>
        <w:t>人，主任秘書為副召集人，並邀集課室主管以上人員、性別議題聯絡人、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本所具性別平等資格之人員</w:t>
      </w:r>
      <w:proofErr w:type="gramStart"/>
      <w:r w:rsidR="006B3E6B" w:rsidRPr="001A7941">
        <w:rPr>
          <w:rFonts w:ascii="標楷體" w:eastAsia="標楷體" w:hAnsi="標楷體" w:hint="eastAsia"/>
          <w:sz w:val="28"/>
          <w:szCs w:val="28"/>
        </w:rPr>
        <w:t>擔任內聘委員</w:t>
      </w:r>
      <w:proofErr w:type="gramEnd"/>
      <w:r w:rsidR="006B3E6B" w:rsidRPr="001A7941">
        <w:rPr>
          <w:rFonts w:ascii="標楷體" w:eastAsia="標楷體" w:hAnsi="標楷體" w:hint="eastAsia"/>
          <w:sz w:val="28"/>
          <w:szCs w:val="28"/>
        </w:rPr>
        <w:t>，共同成立專案小組。</w:t>
      </w:r>
    </w:p>
    <w:p w:rsidR="00FC63D8" w:rsidRDefault="00FC63D8" w:rsidP="00BF4EF4">
      <w:pPr>
        <w:pStyle w:val="21"/>
        <w:widowControl/>
        <w:numPr>
          <w:ilvl w:val="0"/>
          <w:numId w:val="21"/>
        </w:numPr>
        <w:tabs>
          <w:tab w:val="left" w:pos="360"/>
        </w:tabs>
        <w:spacing w:line="460" w:lineRule="exact"/>
        <w:ind w:leftChars="0" w:left="960" w:rightChars="-319" w:right="-766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派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性別議題聯絡人：</w:t>
      </w:r>
    </w:p>
    <w:p w:rsidR="00FC63D8" w:rsidRDefault="006B3E6B" w:rsidP="00BF4EF4">
      <w:pPr>
        <w:pStyle w:val="21"/>
        <w:widowControl/>
        <w:numPr>
          <w:ilvl w:val="1"/>
          <w:numId w:val="21"/>
        </w:numPr>
        <w:tabs>
          <w:tab w:val="left" w:pos="360"/>
        </w:tabs>
        <w:spacing w:line="460" w:lineRule="exact"/>
        <w:ind w:leftChars="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指派課長以上層級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人擔任聯絡人</w:t>
      </w:r>
      <w:r w:rsidR="00FC63D8" w:rsidRPr="001A7941">
        <w:rPr>
          <w:rFonts w:ascii="標楷體" w:eastAsia="標楷體" w:hAnsi="標楷體" w:hint="eastAsia"/>
          <w:sz w:val="28"/>
          <w:szCs w:val="28"/>
        </w:rPr>
        <w:t>，負責本所性別主流化業務</w:t>
      </w:r>
      <w:r w:rsidR="00FC63D8">
        <w:rPr>
          <w:rFonts w:ascii="標楷體" w:eastAsia="標楷體" w:hAnsi="標楷體" w:hint="eastAsia"/>
          <w:sz w:val="28"/>
          <w:szCs w:val="28"/>
        </w:rPr>
        <w:t>統籌</w:t>
      </w:r>
      <w:r w:rsidR="00FC63D8" w:rsidRPr="001A7941">
        <w:rPr>
          <w:rFonts w:ascii="標楷體" w:eastAsia="標楷體" w:hAnsi="標楷體" w:hint="eastAsia"/>
          <w:sz w:val="28"/>
          <w:szCs w:val="28"/>
        </w:rPr>
        <w:t>聯絡窗口。</w:t>
      </w:r>
      <w:r w:rsidR="00FC63D8">
        <w:rPr>
          <w:rFonts w:ascii="標楷體" w:eastAsia="標楷體" w:hAnsi="標楷體" w:hint="eastAsia"/>
          <w:sz w:val="28"/>
          <w:szCs w:val="28"/>
        </w:rPr>
        <w:t>。</w:t>
      </w:r>
    </w:p>
    <w:p w:rsidR="006B3E6B" w:rsidRPr="001A7941" w:rsidRDefault="006B3E6B" w:rsidP="00BF4EF4">
      <w:pPr>
        <w:pStyle w:val="21"/>
        <w:widowControl/>
        <w:numPr>
          <w:ilvl w:val="1"/>
          <w:numId w:val="21"/>
        </w:numPr>
        <w:tabs>
          <w:tab w:val="left" w:pos="360"/>
        </w:tabs>
        <w:spacing w:line="460" w:lineRule="exact"/>
        <w:ind w:leftChars="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指派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人擔任代理聯絡人，負責本所性別主流化業務</w:t>
      </w:r>
      <w:r w:rsidR="00FC63D8">
        <w:rPr>
          <w:rFonts w:ascii="標楷體" w:eastAsia="標楷體" w:hAnsi="標楷體" w:hint="eastAsia"/>
          <w:sz w:val="28"/>
          <w:szCs w:val="28"/>
        </w:rPr>
        <w:t>代理</w:t>
      </w:r>
      <w:r w:rsidRPr="001A7941">
        <w:rPr>
          <w:rFonts w:ascii="標楷體" w:eastAsia="標楷體" w:hAnsi="標楷體" w:hint="eastAsia"/>
          <w:sz w:val="28"/>
          <w:szCs w:val="28"/>
        </w:rPr>
        <w:t>聯絡窗口。</w:t>
      </w:r>
    </w:p>
    <w:p w:rsidR="00651455" w:rsidRDefault="00651455" w:rsidP="00BF4EF4">
      <w:pPr>
        <w:pStyle w:val="21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小組任務</w:t>
      </w:r>
    </w:p>
    <w:p w:rsidR="006B3E6B" w:rsidRPr="00651455" w:rsidRDefault="006B3E6B" w:rsidP="00BF4EF4">
      <w:pPr>
        <w:pStyle w:val="21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 w:rsidRPr="00651455">
        <w:rPr>
          <w:rFonts w:ascii="標楷體" w:eastAsia="標楷體" w:hAnsi="標楷體" w:hint="eastAsia"/>
          <w:sz w:val="28"/>
          <w:szCs w:val="28"/>
        </w:rPr>
        <w:t>定期召開會議：每年定期於</w:t>
      </w:r>
      <w:r w:rsidRPr="00651455">
        <w:rPr>
          <w:rFonts w:ascii="標楷體" w:eastAsia="標楷體" w:hAnsi="標楷體"/>
          <w:sz w:val="28"/>
          <w:szCs w:val="28"/>
        </w:rPr>
        <w:t>4</w:t>
      </w:r>
      <w:r w:rsidRPr="00651455">
        <w:rPr>
          <w:rFonts w:ascii="標楷體" w:eastAsia="標楷體" w:hAnsi="標楷體" w:hint="eastAsia"/>
          <w:sz w:val="28"/>
          <w:szCs w:val="28"/>
        </w:rPr>
        <w:t>月間召開</w:t>
      </w:r>
      <w:r w:rsidRPr="00651455">
        <w:rPr>
          <w:rFonts w:ascii="標楷體" w:eastAsia="標楷體" w:hAnsi="標楷體"/>
          <w:sz w:val="28"/>
          <w:szCs w:val="28"/>
        </w:rPr>
        <w:t>1</w:t>
      </w:r>
      <w:r w:rsidRPr="00651455">
        <w:rPr>
          <w:rFonts w:ascii="標楷體" w:eastAsia="標楷體" w:hAnsi="標楷體" w:hint="eastAsia"/>
          <w:sz w:val="28"/>
          <w:szCs w:val="28"/>
        </w:rPr>
        <w:t>次定期會議，並提報性別主流化推動組備查，必要時得召開臨時會議。</w:t>
      </w:r>
    </w:p>
    <w:p w:rsidR="006B3E6B" w:rsidRDefault="00995EAB" w:rsidP="00BF4EF4">
      <w:pPr>
        <w:pStyle w:val="21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檢視性平執行業務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檢視各單位辦理性平業務推動情形，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審核人事室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提報</w:t>
      </w:r>
      <w:r>
        <w:rPr>
          <w:rFonts w:ascii="標楷體" w:eastAsia="標楷體" w:hAnsi="標楷體" w:hint="eastAsia"/>
          <w:sz w:val="28"/>
          <w:szCs w:val="28"/>
        </w:rPr>
        <w:t>之前一年年度性平執行成果表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。</w:t>
      </w:r>
    </w:p>
    <w:p w:rsidR="00651455" w:rsidRDefault="00651455" w:rsidP="00BF4EF4">
      <w:pPr>
        <w:pStyle w:val="21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審議性別平等預算及檢視前年度性平預算執行情形。</w:t>
      </w:r>
    </w:p>
    <w:p w:rsidR="006B5DDB" w:rsidRPr="006B5DDB" w:rsidRDefault="006B5DDB" w:rsidP="00BF4EF4">
      <w:pPr>
        <w:pStyle w:val="21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 w:rsidRPr="006B5DDB">
        <w:rPr>
          <w:rFonts w:ascii="標楷體" w:eastAsia="標楷體" w:hAnsi="標楷體" w:hint="eastAsia"/>
          <w:sz w:val="28"/>
          <w:szCs w:val="28"/>
        </w:rPr>
        <w:lastRenderedPageBreak/>
        <w:t>配合</w:t>
      </w:r>
      <w:r>
        <w:rPr>
          <w:rFonts w:ascii="標楷體" w:eastAsia="標楷體" w:hAnsi="標楷體" w:hint="eastAsia"/>
          <w:sz w:val="28"/>
          <w:szCs w:val="28"/>
        </w:rPr>
        <w:t>桃園市政</w:t>
      </w:r>
      <w:r w:rsidRPr="006B5DDB">
        <w:rPr>
          <w:rFonts w:ascii="標楷體" w:eastAsia="標楷體" w:hAnsi="標楷體" w:hint="eastAsia"/>
          <w:sz w:val="28"/>
          <w:szCs w:val="28"/>
        </w:rPr>
        <w:t>府各項性別主流化計畫之推動，並運用主流化各項工具推動性別平等工作重點業務。</w:t>
      </w:r>
    </w:p>
    <w:p w:rsidR="006B5DDB" w:rsidRPr="00C03E99" w:rsidRDefault="00C03E99" w:rsidP="00BF4EF4">
      <w:pPr>
        <w:pStyle w:val="21"/>
        <w:widowControl/>
        <w:numPr>
          <w:ilvl w:val="0"/>
          <w:numId w:val="26"/>
        </w:numPr>
        <w:tabs>
          <w:tab w:val="left" w:pos="360"/>
        </w:tabs>
        <w:spacing w:line="460" w:lineRule="exact"/>
        <w:ind w:leftChars="0" w:left="960" w:rightChars="-319" w:right="-766" w:hanging="600"/>
        <w:jc w:val="both"/>
        <w:rPr>
          <w:rFonts w:ascii="標楷體" w:eastAsia="標楷體" w:hAnsi="標楷體"/>
          <w:sz w:val="28"/>
          <w:szCs w:val="28"/>
        </w:rPr>
      </w:pPr>
      <w:r w:rsidRPr="00C03E99">
        <w:rPr>
          <w:rFonts w:ascii="標楷體" w:eastAsia="標楷體" w:hAnsi="標楷體" w:hint="eastAsia"/>
          <w:sz w:val="28"/>
          <w:szCs w:val="28"/>
        </w:rPr>
        <w:t>其他性別平等促進事宜。</w:t>
      </w:r>
    </w:p>
    <w:p w:rsidR="00CE198D" w:rsidRDefault="00CE198D" w:rsidP="00BF4EF4">
      <w:pPr>
        <w:pStyle w:val="21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性平業務權責分工</w:t>
      </w:r>
    </w:p>
    <w:p w:rsidR="006B3E6B" w:rsidRPr="001A7941" w:rsidRDefault="00CE198D" w:rsidP="00CE198D">
      <w:pPr>
        <w:pStyle w:val="21"/>
        <w:widowControl/>
        <w:tabs>
          <w:tab w:val="left" w:pos="360"/>
        </w:tabs>
        <w:spacing w:line="460" w:lineRule="exact"/>
        <w:ind w:leftChars="0" w:left="-218" w:rightChars="-319" w:right="-766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)人事室辦理所內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平業務</w:t>
      </w:r>
      <w:r w:rsidR="002B6F89">
        <w:rPr>
          <w:rFonts w:ascii="標楷體" w:eastAsia="標楷體" w:hAnsi="標楷體" w:hint="eastAsia"/>
          <w:sz w:val="28"/>
          <w:szCs w:val="28"/>
        </w:rPr>
        <w:t>(含員工性別歧視、性騷擾)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：</w:t>
      </w:r>
    </w:p>
    <w:p w:rsidR="006B3E6B" w:rsidRPr="001A7941" w:rsidRDefault="00CE198D" w:rsidP="00CE198D">
      <w:pPr>
        <w:pStyle w:val="4"/>
        <w:widowControl/>
        <w:tabs>
          <w:tab w:val="left" w:pos="360"/>
        </w:tabs>
        <w:spacing w:line="460" w:lineRule="exact"/>
        <w:ind w:leftChars="0" w:rightChars="-319" w:right="-766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一般公務人員、主管人員：</w:t>
      </w:r>
    </w:p>
    <w:p w:rsidR="00BF4EF4" w:rsidRPr="0023175F" w:rsidRDefault="00CE198D" w:rsidP="00CE198D">
      <w:pPr>
        <w:pStyle w:val="21"/>
        <w:widowControl/>
        <w:spacing w:line="400" w:lineRule="exact"/>
        <w:ind w:leftChars="500" w:left="1480" w:rightChars="-319" w:right="-76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(1)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以專題演講、網絡研習、工作坊、電影賞析或讀書會等各種方式辦理。一般公務人員及主管人員每年應施以至少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2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小時之性別主流化課程訓練及</w:t>
      </w:r>
      <w:r w:rsidR="00BF4EF4" w:rsidRPr="00995EAB">
        <w:rPr>
          <w:rFonts w:eastAsia="標楷體"/>
          <w:sz w:val="28"/>
          <w:szCs w:val="28"/>
        </w:rPr>
        <w:t>1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小時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CEDAW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實體課程。</w:t>
      </w:r>
    </w:p>
    <w:p w:rsidR="00BF4EF4" w:rsidRPr="001C19B1" w:rsidRDefault="00CE198D" w:rsidP="00CE198D">
      <w:pPr>
        <w:pStyle w:val="21"/>
        <w:widowControl/>
        <w:spacing w:line="400" w:lineRule="exact"/>
        <w:ind w:leftChars="500" w:left="1480" w:rightChars="-319" w:right="-76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(2)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請依不同職級及業務人員屬性規劃課程內容</w:t>
      </w:r>
      <w:r w:rsidR="00BF4EF4" w:rsidRPr="0023175F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如一般人員、主管人員、機關首長、性別平等業務</w:t>
      </w:r>
      <w:r w:rsidR="00BF4EF4" w:rsidRPr="001C19B1">
        <w:rPr>
          <w:rFonts w:eastAsia="標楷體"/>
          <w:color w:val="000000" w:themeColor="text1"/>
          <w:sz w:val="28"/>
          <w:szCs w:val="28"/>
        </w:rPr>
        <w:t>相關人員等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1C19B1">
        <w:rPr>
          <w:rFonts w:eastAsia="標楷體"/>
          <w:color w:val="000000" w:themeColor="text1"/>
          <w:sz w:val="28"/>
          <w:szCs w:val="28"/>
        </w:rPr>
        <w:t>。課程可分為基礎課程及進階課程，基礎課程之目標在使公務員具備性別主流化之基本概念；進階課程之目標在使性別主流化之理念、目標及操作架構與業務工作相結合。曾參加基礎課程訓練之人員，宜施以進階課程訓練。</w:t>
      </w:r>
    </w:p>
    <w:p w:rsidR="00BF4EF4" w:rsidRPr="000E2C1C" w:rsidRDefault="00CE198D" w:rsidP="00CE198D">
      <w:pPr>
        <w:pStyle w:val="21"/>
        <w:widowControl/>
        <w:spacing w:line="400" w:lineRule="exact"/>
        <w:ind w:leftChars="500" w:left="1480" w:rightChars="-319" w:right="-76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(3)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性別主流化課程訓練依「各機關公務員性別主流化訓練計畫」規劃之基礎課程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例如：性別平等政策概論、性別意識一般通論、消除對婦女一切形式歧視公約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CEDAW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導論等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及進階課程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性別主流化工具與實例運用、性別平等政策綱領各領域專案研討、婦女一切形式歧視公約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(CEDAW)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實務及案例研討等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辦理。</w:t>
      </w:r>
    </w:p>
    <w:p w:rsidR="00BF4EF4" w:rsidRPr="0023175F" w:rsidRDefault="00CE198D" w:rsidP="00CE198D">
      <w:pPr>
        <w:pStyle w:val="21"/>
        <w:widowControl/>
        <w:spacing w:line="400" w:lineRule="exact"/>
        <w:ind w:leftChars="500" w:left="1480" w:rightChars="-319" w:right="-766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(4)</w:t>
      </w:r>
      <w:r w:rsidR="00BF4EF4" w:rsidRPr="000E2C1C">
        <w:rPr>
          <w:rFonts w:eastAsia="標楷體"/>
          <w:color w:val="000000" w:themeColor="text1"/>
          <w:sz w:val="28"/>
          <w:szCs w:val="28"/>
        </w:rPr>
        <w:t>C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EDAW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實體課程請依「消除對婦女一切形式歧視公約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CEDAW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教育訓練及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宣導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計畫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109-112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年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」之訓練內容辦理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不含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CEDAW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概論課程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，例如：直接歧視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、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間接歧視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及交叉歧視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、暫行特別措施、各機關業務與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CEDAW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關聯性、如何運用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CEDAW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於機關業務及施政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、</w:t>
      </w:r>
      <w:r w:rsidR="00BF4EF4" w:rsidRPr="00E7226E">
        <w:rPr>
          <w:rFonts w:eastAsia="標楷體" w:hint="eastAsia"/>
          <w:color w:val="000000" w:themeColor="text1"/>
          <w:kern w:val="0"/>
          <w:sz w:val="28"/>
          <w:szCs w:val="28"/>
        </w:rPr>
        <w:t>引用</w:t>
      </w:r>
      <w:r w:rsidR="00BF4EF4" w:rsidRPr="00E7226E">
        <w:rPr>
          <w:rFonts w:eastAsia="標楷體"/>
          <w:color w:val="000000" w:themeColor="text1"/>
          <w:kern w:val="0"/>
          <w:sz w:val="28"/>
          <w:szCs w:val="28"/>
        </w:rPr>
        <w:t>CEDAW</w:t>
      </w:r>
      <w:r w:rsidR="00BF4EF4" w:rsidRPr="00E7226E">
        <w:rPr>
          <w:rFonts w:eastAsia="標楷體" w:hint="eastAsia"/>
          <w:color w:val="000000" w:themeColor="text1"/>
          <w:kern w:val="0"/>
          <w:sz w:val="28"/>
          <w:szCs w:val="28"/>
        </w:rPr>
        <w:t>指引、多元性別權益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等</w:t>
      </w:r>
      <w:r w:rsidR="00BF4EF4">
        <w:rPr>
          <w:rFonts w:eastAsia="標楷體" w:hint="eastAsia"/>
          <w:color w:val="000000" w:themeColor="text1"/>
          <w:sz w:val="28"/>
          <w:szCs w:val="28"/>
        </w:rPr>
        <w:t>(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需符合終身學習課程代碼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410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至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413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、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516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、</w:t>
      </w:r>
      <w:r w:rsidR="00BF4EF4" w:rsidRPr="00E7226E">
        <w:rPr>
          <w:rFonts w:eastAsia="標楷體" w:hint="eastAsia"/>
          <w:color w:val="000000" w:themeColor="text1"/>
          <w:sz w:val="28"/>
          <w:szCs w:val="28"/>
        </w:rPr>
        <w:t>517</w:t>
      </w:r>
      <w:r w:rsidR="00BF4EF4">
        <w:rPr>
          <w:rFonts w:eastAsia="標楷體" w:hint="eastAsia"/>
          <w:color w:val="000000" w:themeColor="text1"/>
          <w:sz w:val="28"/>
          <w:szCs w:val="28"/>
        </w:rPr>
        <w:t>)</w:t>
      </w:r>
      <w:r w:rsidR="00BF4EF4" w:rsidRPr="00E7226E">
        <w:rPr>
          <w:rFonts w:eastAsia="標楷體"/>
          <w:color w:val="000000" w:themeColor="text1"/>
          <w:sz w:val="28"/>
          <w:szCs w:val="28"/>
        </w:rPr>
        <w:t>。</w:t>
      </w:r>
    </w:p>
    <w:p w:rsidR="00CE198D" w:rsidRDefault="00CE198D" w:rsidP="00322767">
      <w:pPr>
        <w:pStyle w:val="4"/>
        <w:widowControl/>
        <w:tabs>
          <w:tab w:val="left" w:pos="360"/>
        </w:tabs>
        <w:spacing w:line="460" w:lineRule="exact"/>
        <w:ind w:leftChars="0" w:left="851" w:rightChars="-319" w:right="-766" w:firstLineChars="50" w:firstLine="1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4EF4" w:rsidRPr="00BF4EF4">
        <w:rPr>
          <w:rFonts w:ascii="標楷體" w:eastAsia="標楷體" w:hAnsi="標楷體"/>
          <w:sz w:val="28"/>
          <w:szCs w:val="28"/>
        </w:rPr>
        <w:t>性別平等</w:t>
      </w:r>
      <w:r w:rsidR="00BF4EF4" w:rsidRPr="0023175F">
        <w:rPr>
          <w:rFonts w:eastAsia="標楷體"/>
          <w:color w:val="000000" w:themeColor="text1"/>
          <w:sz w:val="28"/>
          <w:szCs w:val="28"/>
        </w:rPr>
        <w:t>業務相關人員：</w:t>
      </w:r>
    </w:p>
    <w:p w:rsidR="00BF4EF4" w:rsidRPr="0023175F" w:rsidRDefault="00BF4EF4" w:rsidP="00CE198D">
      <w:pPr>
        <w:pStyle w:val="4"/>
        <w:widowControl/>
        <w:tabs>
          <w:tab w:val="left" w:pos="360"/>
        </w:tabs>
        <w:spacing w:line="460" w:lineRule="exact"/>
        <w:ind w:leftChars="600" w:left="1440" w:rightChars="-319" w:right="-766"/>
        <w:jc w:val="both"/>
        <w:rPr>
          <w:rFonts w:eastAsia="標楷體"/>
          <w:color w:val="000000" w:themeColor="text1"/>
          <w:sz w:val="28"/>
          <w:szCs w:val="28"/>
        </w:rPr>
      </w:pPr>
      <w:r w:rsidRPr="0023175F">
        <w:rPr>
          <w:rFonts w:eastAsia="標楷體"/>
          <w:color w:val="000000" w:themeColor="text1"/>
          <w:sz w:val="28"/>
          <w:szCs w:val="28"/>
        </w:rPr>
        <w:t>每人每年應參加本府辦理各項性別意識培力課程</w:t>
      </w:r>
      <w:r w:rsidRPr="0023175F">
        <w:rPr>
          <w:rFonts w:eastAsia="標楷體"/>
          <w:color w:val="000000" w:themeColor="text1"/>
          <w:sz w:val="28"/>
          <w:szCs w:val="28"/>
        </w:rPr>
        <w:t>10</w:t>
      </w:r>
      <w:r w:rsidRPr="0023175F">
        <w:rPr>
          <w:rFonts w:eastAsia="標楷體"/>
          <w:color w:val="000000" w:themeColor="text1"/>
          <w:sz w:val="28"/>
          <w:szCs w:val="28"/>
        </w:rPr>
        <w:t>小時以上，其時數可</w:t>
      </w:r>
      <w:r w:rsidRPr="00995EAB">
        <w:rPr>
          <w:rFonts w:eastAsia="標楷體" w:hint="eastAsia"/>
          <w:sz w:val="28"/>
          <w:szCs w:val="28"/>
        </w:rPr>
        <w:t>與</w:t>
      </w:r>
      <w:r w:rsidRPr="0023175F">
        <w:rPr>
          <w:rFonts w:eastAsia="標楷體"/>
          <w:color w:val="000000" w:themeColor="text1"/>
          <w:sz w:val="28"/>
          <w:szCs w:val="28"/>
        </w:rPr>
        <w:t>其他性別平等相關訓練研習時數納入</w:t>
      </w:r>
      <w:proofErr w:type="gramStart"/>
      <w:r w:rsidRPr="0023175F">
        <w:rPr>
          <w:rFonts w:eastAsia="標楷體"/>
          <w:color w:val="000000" w:themeColor="text1"/>
          <w:sz w:val="28"/>
          <w:szCs w:val="28"/>
        </w:rPr>
        <w:t>併</w:t>
      </w:r>
      <w:proofErr w:type="gramEnd"/>
      <w:r w:rsidRPr="0023175F">
        <w:rPr>
          <w:rFonts w:eastAsia="標楷體"/>
          <w:color w:val="000000" w:themeColor="text1"/>
          <w:sz w:val="28"/>
          <w:szCs w:val="28"/>
        </w:rPr>
        <w:t>計。</w:t>
      </w:r>
    </w:p>
    <w:p w:rsidR="001045D4" w:rsidRDefault="001045D4" w:rsidP="00322767">
      <w:pPr>
        <w:pStyle w:val="4"/>
        <w:widowControl/>
        <w:tabs>
          <w:tab w:val="left" w:pos="360"/>
        </w:tabs>
        <w:spacing w:line="460" w:lineRule="exact"/>
        <w:ind w:leftChars="0" w:left="851" w:rightChars="-319" w:right="-766" w:firstLineChars="40" w:firstLine="112"/>
        <w:jc w:val="both"/>
        <w:rPr>
          <w:rFonts w:ascii="標楷體" w:eastAsia="標楷體" w:hAnsi="標楷體"/>
          <w:sz w:val="28"/>
          <w:szCs w:val="28"/>
        </w:rPr>
      </w:pPr>
      <w:r w:rsidRPr="001045D4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BF4EF4" w:rsidRPr="001045D4">
        <w:rPr>
          <w:rFonts w:eastAsia="標楷體" w:hint="eastAsia"/>
          <w:color w:val="000000" w:themeColor="text1"/>
          <w:sz w:val="28"/>
          <w:szCs w:val="28"/>
        </w:rPr>
        <w:t>執行</w:t>
      </w:r>
      <w:r w:rsidR="00BF4EF4" w:rsidRPr="001A7941">
        <w:rPr>
          <w:rFonts w:ascii="標楷體" w:eastAsia="標楷體" w:hAnsi="標楷體" w:hint="eastAsia"/>
          <w:sz w:val="28"/>
          <w:szCs w:val="28"/>
        </w:rPr>
        <w:t>成果：</w:t>
      </w:r>
    </w:p>
    <w:p w:rsidR="00BF4EF4" w:rsidRDefault="00BF4EF4" w:rsidP="001045D4">
      <w:pPr>
        <w:pStyle w:val="4"/>
        <w:widowControl/>
        <w:tabs>
          <w:tab w:val="left" w:pos="360"/>
        </w:tabs>
        <w:spacing w:line="460" w:lineRule="exact"/>
        <w:ind w:leftChars="600" w:left="144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每年</w:t>
      </w:r>
      <w:r w:rsidR="00995EAB">
        <w:rPr>
          <w:rFonts w:ascii="標楷體" w:eastAsia="標楷體" w:hAnsi="標楷體" w:hint="eastAsia"/>
          <w:sz w:val="28"/>
          <w:szCs w:val="28"/>
        </w:rPr>
        <w:t>由舉辦性平課程之單位</w:t>
      </w:r>
      <w:r w:rsidRPr="001A7941">
        <w:rPr>
          <w:rFonts w:ascii="標楷體" w:eastAsia="標楷體" w:hAnsi="標楷體" w:hint="eastAsia"/>
          <w:sz w:val="28"/>
          <w:szCs w:val="28"/>
        </w:rPr>
        <w:t>依</w:t>
      </w:r>
      <w:r w:rsidR="00995EAB">
        <w:rPr>
          <w:rFonts w:ascii="標楷體" w:eastAsia="標楷體" w:hAnsi="標楷體" w:hint="eastAsia"/>
          <w:sz w:val="28"/>
          <w:szCs w:val="28"/>
        </w:rPr>
        <w:t>性平</w:t>
      </w:r>
      <w:r w:rsidRPr="001A7941">
        <w:rPr>
          <w:rFonts w:ascii="標楷體" w:eastAsia="標楷體" w:hAnsi="標楷體" w:hint="eastAsia"/>
          <w:sz w:val="28"/>
          <w:szCs w:val="28"/>
        </w:rPr>
        <w:t>培力</w:t>
      </w:r>
      <w:r w:rsidR="00995EAB">
        <w:rPr>
          <w:rFonts w:ascii="標楷體" w:eastAsia="標楷體" w:hAnsi="標楷體" w:hint="eastAsia"/>
          <w:sz w:val="28"/>
          <w:szCs w:val="28"/>
        </w:rPr>
        <w:t>執行</w:t>
      </w:r>
      <w:r w:rsidRPr="001A7941">
        <w:rPr>
          <w:rFonts w:ascii="標楷體" w:eastAsia="標楷體" w:hAnsi="標楷體" w:hint="eastAsia"/>
          <w:sz w:val="28"/>
          <w:szCs w:val="28"/>
        </w:rPr>
        <w:t>成果表分別於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7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10</w:t>
      </w:r>
      <w:r w:rsidRPr="001A7941">
        <w:rPr>
          <w:rFonts w:ascii="標楷體" w:eastAsia="標楷體" w:hAnsi="標楷體" w:hint="eastAsia"/>
          <w:sz w:val="28"/>
          <w:szCs w:val="28"/>
        </w:rPr>
        <w:t>月初及次年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月初，提</w:t>
      </w:r>
      <w:r>
        <w:rPr>
          <w:rFonts w:ascii="標楷體" w:eastAsia="標楷體" w:hAnsi="標楷體" w:hint="eastAsia"/>
          <w:sz w:val="28"/>
          <w:szCs w:val="28"/>
        </w:rPr>
        <w:t>交</w:t>
      </w:r>
      <w:r w:rsidRPr="001A7941">
        <w:rPr>
          <w:rFonts w:ascii="標楷體" w:eastAsia="標楷體" w:hAnsi="標楷體" w:hint="eastAsia"/>
          <w:sz w:val="28"/>
          <w:szCs w:val="28"/>
        </w:rPr>
        <w:t>培力訓練之成果報告</w:t>
      </w:r>
      <w:r>
        <w:rPr>
          <w:rFonts w:ascii="標楷體" w:eastAsia="標楷體" w:hAnsi="標楷體" w:hint="eastAsia"/>
          <w:sz w:val="28"/>
          <w:szCs w:val="28"/>
        </w:rPr>
        <w:t>予桃園市政府性別平等辦公室</w:t>
      </w:r>
      <w:r w:rsidRPr="001A7941">
        <w:rPr>
          <w:rFonts w:ascii="標楷體" w:eastAsia="標楷體" w:hAnsi="標楷體" w:hint="eastAsia"/>
          <w:sz w:val="28"/>
          <w:szCs w:val="28"/>
        </w:rPr>
        <w:t>。</w:t>
      </w:r>
    </w:p>
    <w:p w:rsidR="001045D4" w:rsidRPr="001A7941" w:rsidRDefault="001045D4" w:rsidP="001045D4">
      <w:pPr>
        <w:pStyle w:val="4"/>
        <w:widowControl/>
        <w:tabs>
          <w:tab w:val="left" w:pos="360"/>
        </w:tabs>
        <w:spacing w:line="460" w:lineRule="exact"/>
        <w:ind w:leftChars="0" w:left="980"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:rsidR="006B3E6B" w:rsidRPr="001A7941" w:rsidRDefault="001045D4" w:rsidP="001045D4">
      <w:pPr>
        <w:pStyle w:val="21"/>
        <w:widowControl/>
        <w:tabs>
          <w:tab w:val="left" w:pos="360"/>
        </w:tabs>
        <w:spacing w:line="460" w:lineRule="exact"/>
        <w:ind w:leftChars="0" w:left="709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(二)社會課辦理所外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性別平等宣導：</w:t>
      </w:r>
    </w:p>
    <w:p w:rsidR="001045D4" w:rsidRDefault="001045D4" w:rsidP="001045D4">
      <w:pPr>
        <w:pStyle w:val="4"/>
        <w:widowControl/>
        <w:tabs>
          <w:tab w:val="left" w:pos="360"/>
        </w:tabs>
        <w:spacing w:line="460" w:lineRule="exact"/>
        <w:ind w:leftChars="0" w:left="1163"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宣導活動:</w:t>
      </w:r>
    </w:p>
    <w:p w:rsidR="006B3E6B" w:rsidRPr="001A7941" w:rsidRDefault="006B3E6B" w:rsidP="001045D4">
      <w:pPr>
        <w:pStyle w:val="4"/>
        <w:widowControl/>
        <w:tabs>
          <w:tab w:val="left" w:pos="360"/>
        </w:tabs>
        <w:spacing w:line="460" w:lineRule="exact"/>
        <w:ind w:leftChars="600" w:left="144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社會課每年應對民眾辦理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次</w:t>
      </w: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或性別平等議題之宣導事宜</w:t>
      </w:r>
      <w:r w:rsidR="00BF4EF4">
        <w:rPr>
          <w:rFonts w:ascii="標楷體" w:eastAsia="標楷體" w:hAnsi="標楷體" w:hint="eastAsia"/>
          <w:sz w:val="28"/>
          <w:szCs w:val="28"/>
        </w:rPr>
        <w:t>，其他課室亦請視業務需要辦理性別平等宣導。</w:t>
      </w:r>
    </w:p>
    <w:p w:rsidR="001045D4" w:rsidRDefault="001045D4" w:rsidP="001045D4">
      <w:pPr>
        <w:pStyle w:val="4"/>
        <w:widowControl/>
        <w:tabs>
          <w:tab w:val="left" w:pos="993"/>
        </w:tabs>
        <w:spacing w:line="460" w:lineRule="exact"/>
        <w:ind w:leftChars="0" w:left="980" w:rightChars="-319" w:right="-766" w:firstLineChars="55" w:firstLine="1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2.成果報告</w:t>
      </w:r>
      <w:r>
        <w:rPr>
          <w:rFonts w:ascii="標楷體" w:eastAsia="標楷體" w:hAnsi="標楷體"/>
          <w:sz w:val="28"/>
          <w:szCs w:val="28"/>
        </w:rPr>
        <w:t>:</w:t>
      </w:r>
    </w:p>
    <w:p w:rsidR="006B3E6B" w:rsidRPr="001A7941" w:rsidRDefault="006B3E6B" w:rsidP="001045D4">
      <w:pPr>
        <w:pStyle w:val="4"/>
        <w:widowControl/>
        <w:tabs>
          <w:tab w:val="left" w:pos="360"/>
        </w:tabs>
        <w:spacing w:line="460" w:lineRule="exact"/>
        <w:ind w:leftChars="600" w:left="144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每年依培力成果表分別於</w:t>
      </w:r>
      <w:r w:rsidRPr="001A7941">
        <w:rPr>
          <w:rFonts w:ascii="標楷體" w:eastAsia="標楷體" w:hAnsi="標楷體"/>
          <w:sz w:val="28"/>
          <w:szCs w:val="28"/>
        </w:rPr>
        <w:t>4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7</w:t>
      </w:r>
      <w:r w:rsidRPr="001A7941">
        <w:rPr>
          <w:rFonts w:ascii="標楷體" w:eastAsia="標楷體" w:hAnsi="標楷體" w:hint="eastAsia"/>
          <w:sz w:val="28"/>
          <w:szCs w:val="28"/>
        </w:rPr>
        <w:t>月初、</w:t>
      </w:r>
      <w:r w:rsidRPr="001A7941">
        <w:rPr>
          <w:rFonts w:ascii="標楷體" w:eastAsia="標楷體" w:hAnsi="標楷體"/>
          <w:sz w:val="28"/>
          <w:szCs w:val="28"/>
        </w:rPr>
        <w:t>10</w:t>
      </w:r>
      <w:r w:rsidRPr="001A7941">
        <w:rPr>
          <w:rFonts w:ascii="標楷體" w:eastAsia="標楷體" w:hAnsi="標楷體" w:hint="eastAsia"/>
          <w:sz w:val="28"/>
          <w:szCs w:val="28"/>
        </w:rPr>
        <w:t>月初及次年</w:t>
      </w:r>
      <w:r w:rsidRPr="001A7941">
        <w:rPr>
          <w:rFonts w:ascii="標楷體" w:eastAsia="標楷體" w:hAnsi="標楷體"/>
          <w:sz w:val="28"/>
          <w:szCs w:val="28"/>
        </w:rPr>
        <w:t>1</w:t>
      </w:r>
      <w:r w:rsidRPr="001A7941">
        <w:rPr>
          <w:rFonts w:ascii="標楷體" w:eastAsia="標楷體" w:hAnsi="標楷體" w:hint="eastAsia"/>
          <w:sz w:val="28"/>
          <w:szCs w:val="28"/>
        </w:rPr>
        <w:t>月初，提出宣導之成果報告。</w:t>
      </w:r>
    </w:p>
    <w:p w:rsidR="001045D4" w:rsidRDefault="006B3E6B" w:rsidP="001045D4">
      <w:pPr>
        <w:pStyle w:val="4"/>
        <w:widowControl/>
        <w:numPr>
          <w:ilvl w:val="1"/>
          <w:numId w:val="21"/>
        </w:numPr>
        <w:tabs>
          <w:tab w:val="left" w:pos="360"/>
        </w:tabs>
        <w:spacing w:line="460" w:lineRule="exact"/>
        <w:ind w:leftChars="0" w:rightChars="-319" w:right="-766" w:firstLine="154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宣導文宣製作：</w:t>
      </w:r>
    </w:p>
    <w:p w:rsidR="006B3E6B" w:rsidRDefault="006B3E6B" w:rsidP="001045D4">
      <w:pPr>
        <w:pStyle w:val="4"/>
        <w:widowControl/>
        <w:tabs>
          <w:tab w:val="left" w:pos="360"/>
        </w:tabs>
        <w:spacing w:line="460" w:lineRule="exact"/>
        <w:ind w:leftChars="600" w:left="144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製作具性別平等意識或</w:t>
      </w:r>
      <w:r w:rsidRPr="001A7941">
        <w:rPr>
          <w:rFonts w:ascii="標楷體" w:eastAsia="標楷體" w:hAnsi="標楷體"/>
          <w:sz w:val="28"/>
          <w:szCs w:val="28"/>
        </w:rPr>
        <w:t>CEDAW</w:t>
      </w:r>
      <w:r w:rsidRPr="001A7941">
        <w:rPr>
          <w:rFonts w:ascii="標楷體" w:eastAsia="標楷體" w:hAnsi="標楷體" w:hint="eastAsia"/>
          <w:sz w:val="28"/>
          <w:szCs w:val="28"/>
        </w:rPr>
        <w:t>概念之文宣，並有宣導內容。</w:t>
      </w:r>
    </w:p>
    <w:p w:rsidR="0092111A" w:rsidRPr="001A7941" w:rsidRDefault="0092111A" w:rsidP="0092111A">
      <w:pPr>
        <w:pStyle w:val="4"/>
        <w:widowControl/>
        <w:tabs>
          <w:tab w:val="left" w:pos="360"/>
        </w:tabs>
        <w:spacing w:line="460" w:lineRule="exact"/>
        <w:ind w:rightChars="-319" w:right="-7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配合市府、行政院性平考核業務</w:t>
      </w:r>
    </w:p>
    <w:p w:rsidR="006B3E6B" w:rsidRPr="001A7941" w:rsidRDefault="006B3E6B" w:rsidP="00BF4EF4">
      <w:pPr>
        <w:pStyle w:val="21"/>
        <w:widowControl/>
        <w:numPr>
          <w:ilvl w:val="0"/>
          <w:numId w:val="25"/>
        </w:numPr>
        <w:tabs>
          <w:tab w:val="left" w:pos="480"/>
        </w:tabs>
        <w:spacing w:line="460" w:lineRule="exact"/>
        <w:ind w:leftChars="0" w:left="48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結合局處資源發展在地性別平等方案：本所每年視情形結合局處資源，</w:t>
      </w:r>
      <w:proofErr w:type="gramStart"/>
      <w:r w:rsidRPr="001A794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1A7941">
        <w:rPr>
          <w:rFonts w:ascii="標楷體" w:eastAsia="標楷體" w:hAnsi="標楷體" w:hint="eastAsia"/>
          <w:sz w:val="28"/>
          <w:szCs w:val="28"/>
        </w:rPr>
        <w:t>擬落實性別平等推展方案。</w:t>
      </w:r>
    </w:p>
    <w:p w:rsidR="006B3E6B" w:rsidRPr="001045D4" w:rsidRDefault="006B3E6B" w:rsidP="00BF4EF4">
      <w:pPr>
        <w:pStyle w:val="21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1045D4">
        <w:rPr>
          <w:rFonts w:ascii="標楷體" w:eastAsia="標楷體" w:hAnsi="標楷體" w:hint="eastAsia"/>
          <w:sz w:val="28"/>
          <w:szCs w:val="28"/>
        </w:rPr>
        <w:t>建置及定期維護性別平等專區網頁：</w:t>
      </w:r>
    </w:p>
    <w:p w:rsidR="006B3E6B" w:rsidRPr="00BF4EF4" w:rsidRDefault="006B3E6B" w:rsidP="00BF4EF4">
      <w:pPr>
        <w:pStyle w:val="4"/>
        <w:widowControl/>
        <w:numPr>
          <w:ilvl w:val="0"/>
          <w:numId w:val="29"/>
        </w:numPr>
        <w:tabs>
          <w:tab w:val="left" w:pos="360"/>
        </w:tabs>
        <w:spacing w:line="460" w:lineRule="exact"/>
        <w:ind w:leftChars="0" w:left="96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BF4EF4">
        <w:rPr>
          <w:rFonts w:ascii="標楷體" w:eastAsia="標楷體" w:hAnsi="標楷體" w:hint="eastAsia"/>
          <w:sz w:val="28"/>
          <w:szCs w:val="28"/>
        </w:rPr>
        <w:t>辦理內容：網頁設置「性別主流化」專區，公開辦理成果及推動成果等資訊</w:t>
      </w:r>
      <w:r w:rsidR="00CC0968" w:rsidRPr="00BF4EF4">
        <w:rPr>
          <w:rFonts w:ascii="標楷體" w:eastAsia="標楷體" w:hAnsi="標楷體" w:hint="eastAsia"/>
          <w:sz w:val="28"/>
          <w:szCs w:val="28"/>
        </w:rPr>
        <w:t>，請辦理課室多加充實豐富該專區內容，定期將辦理之活動執行表及照片集，放置於該專區，並請按期完成更新作業，以供民眾理解性別平等推動之情形。</w:t>
      </w:r>
    </w:p>
    <w:p w:rsidR="006B3E6B" w:rsidRPr="00BF4EF4" w:rsidRDefault="006B3E6B" w:rsidP="00BF4EF4">
      <w:pPr>
        <w:pStyle w:val="4"/>
        <w:widowControl/>
        <w:numPr>
          <w:ilvl w:val="0"/>
          <w:numId w:val="29"/>
        </w:numPr>
        <w:tabs>
          <w:tab w:val="left" w:pos="360"/>
        </w:tabs>
        <w:spacing w:line="460" w:lineRule="exact"/>
        <w:ind w:leftChars="0" w:left="960" w:rightChars="-319" w:right="-766"/>
        <w:jc w:val="both"/>
        <w:rPr>
          <w:rFonts w:ascii="標楷體" w:eastAsia="標楷體" w:hAnsi="標楷體"/>
          <w:sz w:val="28"/>
          <w:szCs w:val="28"/>
        </w:rPr>
      </w:pPr>
      <w:r w:rsidRPr="00BF4EF4">
        <w:rPr>
          <w:rFonts w:ascii="標楷體" w:eastAsia="標楷體" w:hAnsi="標楷體" w:hint="eastAsia"/>
          <w:sz w:val="28"/>
          <w:szCs w:val="28"/>
        </w:rPr>
        <w:t>辦理單位：由各辦理性別平等相關訓練活動之課室，經審核後刊登網站，倘有無法刊登問題，由秘書室協助解決。</w:t>
      </w:r>
    </w:p>
    <w:p w:rsidR="006B3E6B" w:rsidRPr="001A7941" w:rsidRDefault="006B3E6B" w:rsidP="00BF4EF4">
      <w:pPr>
        <w:pStyle w:val="21"/>
        <w:widowControl/>
        <w:numPr>
          <w:ilvl w:val="0"/>
          <w:numId w:val="25"/>
        </w:numPr>
        <w:tabs>
          <w:tab w:val="left" w:pos="360"/>
        </w:tabs>
        <w:spacing w:line="460" w:lineRule="exact"/>
        <w:ind w:leftChars="0" w:left="709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1A7941">
        <w:rPr>
          <w:rFonts w:ascii="標楷體" w:eastAsia="標楷體" w:hAnsi="標楷體" w:hint="eastAsia"/>
          <w:sz w:val="28"/>
          <w:szCs w:val="28"/>
        </w:rPr>
        <w:t>其他性別平等促進事宜。</w:t>
      </w:r>
    </w:p>
    <w:p w:rsidR="006B3E6B" w:rsidRPr="00CC0968" w:rsidRDefault="006B3E6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1045D4">
        <w:rPr>
          <w:rFonts w:ascii="標楷體" w:eastAsia="標楷體" w:hAnsi="標楷體" w:hint="eastAsia"/>
          <w:sz w:val="28"/>
          <w:szCs w:val="28"/>
        </w:rPr>
        <w:t>經費來源：</w:t>
      </w:r>
      <w:r w:rsidRPr="00CC0968">
        <w:rPr>
          <w:rFonts w:ascii="標楷體" w:eastAsia="標楷體" w:hAnsi="標楷體" w:hint="eastAsia"/>
          <w:sz w:val="28"/>
          <w:szCs w:val="28"/>
        </w:rPr>
        <w:t>由本所編列年度預算或由相關經費項下支應。</w:t>
      </w:r>
    </w:p>
    <w:p w:rsidR="006B3E6B" w:rsidRPr="001045D4" w:rsidRDefault="006B3E6B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line="460" w:lineRule="exact"/>
        <w:ind w:leftChars="0" w:left="567" w:rightChars="-319" w:right="-766" w:hanging="927"/>
        <w:jc w:val="both"/>
        <w:rPr>
          <w:rFonts w:ascii="標楷體" w:eastAsia="標楷體" w:hAnsi="標楷體"/>
          <w:sz w:val="28"/>
          <w:szCs w:val="28"/>
        </w:rPr>
      </w:pPr>
      <w:r w:rsidRPr="001045D4">
        <w:rPr>
          <w:rFonts w:ascii="標楷體" w:eastAsia="標楷體" w:hAnsi="標楷體" w:hint="eastAsia"/>
          <w:sz w:val="28"/>
          <w:szCs w:val="28"/>
        </w:rPr>
        <w:t>預期效益</w:t>
      </w:r>
      <w:r w:rsidR="00BF4EF4" w:rsidRPr="001045D4">
        <w:rPr>
          <w:rFonts w:ascii="標楷體" w:eastAsia="標楷體" w:hAnsi="標楷體" w:hint="eastAsia"/>
          <w:sz w:val="28"/>
          <w:szCs w:val="28"/>
        </w:rPr>
        <w:t>：</w:t>
      </w:r>
    </w:p>
    <w:p w:rsidR="006B3E6B" w:rsidRPr="001A7941" w:rsidRDefault="006726A9" w:rsidP="006726A9">
      <w:pPr>
        <w:pStyle w:val="21"/>
        <w:widowControl/>
        <w:tabs>
          <w:tab w:val="left" w:pos="360"/>
        </w:tabs>
        <w:spacing w:line="460" w:lineRule="exact"/>
        <w:ind w:leftChars="174" w:left="426" w:rightChars="-319" w:right="-766" w:hangingChars="3" w:hanging="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加強本所同仁及民眾性別平等意識，落實推動性別主流化。</w:t>
      </w:r>
    </w:p>
    <w:p w:rsidR="006B3E6B" w:rsidRPr="001A7941" w:rsidRDefault="006726A9" w:rsidP="006726A9">
      <w:pPr>
        <w:pStyle w:val="21"/>
        <w:widowControl/>
        <w:tabs>
          <w:tab w:val="left" w:pos="360"/>
        </w:tabs>
        <w:spacing w:line="460" w:lineRule="exact"/>
        <w:ind w:leftChars="174" w:left="426" w:rightChars="-319" w:right="-766" w:hangingChars="3" w:hanging="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B3E6B" w:rsidRPr="001A7941">
        <w:rPr>
          <w:rFonts w:ascii="標楷體" w:eastAsia="標楷體" w:hAnsi="標楷體" w:hint="eastAsia"/>
          <w:sz w:val="28"/>
          <w:szCs w:val="28"/>
        </w:rPr>
        <w:t>將性別觀點融入本所各項政策、方案等，具體展現推動成果。</w:t>
      </w:r>
    </w:p>
    <w:p w:rsidR="006B3E6B" w:rsidRPr="00BF4EF4" w:rsidRDefault="00BF4EF4" w:rsidP="00BF4EF4">
      <w:pPr>
        <w:pStyle w:val="4"/>
        <w:widowControl/>
        <w:numPr>
          <w:ilvl w:val="0"/>
          <w:numId w:val="4"/>
        </w:numPr>
        <w:tabs>
          <w:tab w:val="left" w:pos="360"/>
        </w:tabs>
        <w:spacing w:afterLines="50" w:after="180" w:line="460" w:lineRule="exact"/>
        <w:ind w:leftChars="0" w:left="360" w:rightChars="-319" w:right="-766" w:hanging="720"/>
        <w:jc w:val="both"/>
        <w:rPr>
          <w:rFonts w:ascii="標楷體" w:eastAsia="標楷體" w:hAnsi="標楷體"/>
          <w:sz w:val="28"/>
          <w:szCs w:val="28"/>
        </w:rPr>
      </w:pPr>
      <w:r w:rsidRPr="001045D4">
        <w:rPr>
          <w:rFonts w:ascii="標楷體" w:eastAsia="標楷體" w:hAnsi="標楷體" w:hint="eastAsia"/>
          <w:sz w:val="28"/>
          <w:szCs w:val="28"/>
        </w:rPr>
        <w:t>計畫修正：</w:t>
      </w:r>
      <w:r w:rsidR="006B3E6B" w:rsidRPr="00BF4EF4">
        <w:rPr>
          <w:rFonts w:ascii="標楷體" w:eastAsia="標楷體" w:hAnsi="標楷體" w:hint="eastAsia"/>
          <w:sz w:val="28"/>
          <w:szCs w:val="28"/>
        </w:rPr>
        <w:t>本實施計畫如有未盡事宜，得隨時修正之，並提報性別主流化推動組審查通過後，再提最近一次性平會備查。</w:t>
      </w:r>
    </w:p>
    <w:p w:rsidR="006B3E6B" w:rsidRPr="00BF4EF4" w:rsidRDefault="006B3E6B" w:rsidP="00BF4EF4">
      <w:pPr>
        <w:snapToGrid w:val="0"/>
        <w:spacing w:line="360" w:lineRule="exact"/>
        <w:ind w:rightChars="-319" w:right="-766"/>
      </w:pPr>
    </w:p>
    <w:sectPr w:rsidR="006B3E6B" w:rsidRPr="00BF4EF4" w:rsidSect="00414E14">
      <w:footerReference w:type="default" r:id="rId7"/>
      <w:pgSz w:w="11906" w:h="16838"/>
      <w:pgMar w:top="719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93" w:rsidRDefault="00081E93" w:rsidP="00585377">
      <w:r>
        <w:separator/>
      </w:r>
    </w:p>
  </w:endnote>
  <w:endnote w:type="continuationSeparator" w:id="0">
    <w:p w:rsidR="00081E93" w:rsidRDefault="00081E93" w:rsidP="005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6B" w:rsidRDefault="00D052B3">
    <w:pPr>
      <w:pStyle w:val="a7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264D2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B3E6B" w:rsidRDefault="006B3E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93" w:rsidRDefault="00081E93" w:rsidP="00585377">
      <w:r>
        <w:separator/>
      </w:r>
    </w:p>
  </w:footnote>
  <w:footnote w:type="continuationSeparator" w:id="0">
    <w:p w:rsidR="00081E93" w:rsidRDefault="00081E93" w:rsidP="005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63D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1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cs="Times New Roman"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4" w15:restartNumberingAfterBreak="0">
    <w:nsid w:val="12157505"/>
    <w:multiLevelType w:val="hybridMultilevel"/>
    <w:tmpl w:val="84C646D0"/>
    <w:lvl w:ilvl="0" w:tplc="1DEC5710">
      <w:start w:val="1"/>
      <w:numFmt w:val="taiwaneseCountingThousand"/>
      <w:lvlText w:val="%1、"/>
      <w:lvlJc w:val="left"/>
      <w:pPr>
        <w:ind w:left="860" w:hanging="720"/>
      </w:pPr>
      <w:rPr>
        <w:rFonts w:ascii="標楷體" w:eastAsia="標楷體" w:hAnsi="標楷體" w:cs="Times New Roman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5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6222A23"/>
    <w:multiLevelType w:val="hybridMultilevel"/>
    <w:tmpl w:val="E93E7802"/>
    <w:lvl w:ilvl="0" w:tplc="B7642828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cs="Times New Roman" w:hint="eastAsia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80D3A40"/>
    <w:multiLevelType w:val="hybridMultilevel"/>
    <w:tmpl w:val="668A36A0"/>
    <w:lvl w:ilvl="0" w:tplc="2B4E9ABA">
      <w:start w:val="1"/>
      <w:numFmt w:val="taiwaneseCountingThousand"/>
      <w:suff w:val="nothing"/>
      <w:lvlText w:val="(%1)"/>
      <w:lvlJc w:val="left"/>
      <w:pPr>
        <w:ind w:left="7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C7C4993"/>
    <w:multiLevelType w:val="hybridMultilevel"/>
    <w:tmpl w:val="8F44D10A"/>
    <w:lvl w:ilvl="0" w:tplc="53F0AB8A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cs="Times New Roman"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  <w:rPr>
        <w:rFonts w:cs="Times New Roman"/>
      </w:rPr>
    </w:lvl>
  </w:abstractNum>
  <w:abstractNum w:abstractNumId="11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AEC3E1D"/>
    <w:multiLevelType w:val="hybridMultilevel"/>
    <w:tmpl w:val="9CD4F6D2"/>
    <w:lvl w:ilvl="0" w:tplc="64DE316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eastAsia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3" w15:restartNumberingAfterBreak="0">
    <w:nsid w:val="3E4F1B56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14" w15:restartNumberingAfterBreak="0">
    <w:nsid w:val="40646B63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5" w15:restartNumberingAfterBreak="0">
    <w:nsid w:val="41603D5C"/>
    <w:multiLevelType w:val="hybridMultilevel"/>
    <w:tmpl w:val="BBA2C4C2"/>
    <w:lvl w:ilvl="0" w:tplc="27AC6504">
      <w:start w:val="1"/>
      <w:numFmt w:val="taiwaneseCountingThousand"/>
      <w:lvlText w:val="%1、"/>
      <w:lvlJc w:val="left"/>
      <w:pPr>
        <w:ind w:left="480" w:hanging="253"/>
      </w:pPr>
      <w:rPr>
        <w:rFonts w:cs="Times New Roman" w:hint="eastAsia"/>
        <w:b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6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AD461B"/>
    <w:multiLevelType w:val="hybridMultilevel"/>
    <w:tmpl w:val="B858C0E6"/>
    <w:lvl w:ilvl="0" w:tplc="D2908BF4">
      <w:start w:val="1"/>
      <w:numFmt w:val="taiwaneseCountingThousand"/>
      <w:lvlText w:val="(%1)."/>
      <w:lvlJc w:val="left"/>
      <w:pPr>
        <w:ind w:left="862" w:hanging="72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8" w15:restartNumberingAfterBreak="0">
    <w:nsid w:val="49191511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9" w15:restartNumberingAfterBreak="0">
    <w:nsid w:val="4D893BE3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20" w15:restartNumberingAfterBreak="0">
    <w:nsid w:val="51B84ABE"/>
    <w:multiLevelType w:val="hybridMultilevel"/>
    <w:tmpl w:val="192E7054"/>
    <w:lvl w:ilvl="0" w:tplc="A3F450DE">
      <w:start w:val="1"/>
      <w:numFmt w:val="ideographLegalTraditional"/>
      <w:lvlText w:val="%1、"/>
      <w:lvlJc w:val="left"/>
      <w:pPr>
        <w:ind w:left="2324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4796830"/>
    <w:multiLevelType w:val="multilevel"/>
    <w:tmpl w:val="A4A4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F2B25"/>
    <w:multiLevelType w:val="hybridMultilevel"/>
    <w:tmpl w:val="9CD4F6D2"/>
    <w:lvl w:ilvl="0" w:tplc="64DE316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eastAsia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3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40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  <w:rPr>
        <w:rFonts w:cs="Times New Roman"/>
      </w:rPr>
    </w:lvl>
  </w:abstractNum>
  <w:abstractNum w:abstractNumId="24" w15:restartNumberingAfterBreak="0">
    <w:nsid w:val="5B481171"/>
    <w:multiLevelType w:val="hybridMultilevel"/>
    <w:tmpl w:val="AC8265E4"/>
    <w:lvl w:ilvl="0" w:tplc="AA4210E0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2DC4DAB"/>
    <w:multiLevelType w:val="hybridMultilevel"/>
    <w:tmpl w:val="D758E788"/>
    <w:lvl w:ilvl="0" w:tplc="7C1E310A">
      <w:start w:val="1"/>
      <w:numFmt w:val="taiwaneseCountingThousand"/>
      <w:lvlText w:val="(%1)"/>
      <w:lvlJc w:val="left"/>
      <w:pPr>
        <w:ind w:left="907" w:hanging="62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26" w15:restartNumberingAfterBreak="0">
    <w:nsid w:val="63FB5606"/>
    <w:multiLevelType w:val="hybridMultilevel"/>
    <w:tmpl w:val="F04AED40"/>
    <w:lvl w:ilvl="0" w:tplc="8FE602EE">
      <w:start w:val="1"/>
      <w:numFmt w:val="taiwaneseCountingThousand"/>
      <w:lvlText w:val="(%1)."/>
      <w:lvlJc w:val="left"/>
      <w:pPr>
        <w:ind w:left="8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8A56116"/>
    <w:multiLevelType w:val="hybridMultilevel"/>
    <w:tmpl w:val="31588BD8"/>
    <w:lvl w:ilvl="0" w:tplc="446EC2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8" w15:restartNumberingAfterBreak="0">
    <w:nsid w:val="7462361F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29" w15:restartNumberingAfterBreak="0">
    <w:nsid w:val="757426F6"/>
    <w:multiLevelType w:val="hybridMultilevel"/>
    <w:tmpl w:val="9C3AF924"/>
    <w:lvl w:ilvl="0" w:tplc="96000E9A">
      <w:start w:val="1"/>
      <w:numFmt w:val="taiwaneseCountingThousand"/>
      <w:lvlText w:val="%1、"/>
      <w:lvlJc w:val="left"/>
      <w:pPr>
        <w:ind w:left="227" w:hanging="8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0" w15:restartNumberingAfterBreak="0">
    <w:nsid w:val="77B2457E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  <w:rPr>
        <w:rFonts w:cs="Times New Roman"/>
      </w:rPr>
    </w:lvl>
  </w:abstractNum>
  <w:abstractNum w:abstractNumId="31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20"/>
  </w:num>
  <w:num w:numId="5">
    <w:abstractNumId w:val="3"/>
  </w:num>
  <w:num w:numId="6">
    <w:abstractNumId w:val="25"/>
  </w:num>
  <w:num w:numId="7">
    <w:abstractNumId w:val="0"/>
  </w:num>
  <w:num w:numId="8">
    <w:abstractNumId w:val="10"/>
  </w:num>
  <w:num w:numId="9">
    <w:abstractNumId w:val="23"/>
  </w:num>
  <w:num w:numId="10">
    <w:abstractNumId w:val="2"/>
  </w:num>
  <w:num w:numId="11">
    <w:abstractNumId w:val="9"/>
  </w:num>
  <w:num w:numId="12">
    <w:abstractNumId w:val="30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29"/>
  </w:num>
  <w:num w:numId="18">
    <w:abstractNumId w:val="17"/>
  </w:num>
  <w:num w:numId="19">
    <w:abstractNumId w:val="27"/>
  </w:num>
  <w:num w:numId="20">
    <w:abstractNumId w:val="15"/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4"/>
  </w:num>
  <w:num w:numId="26">
    <w:abstractNumId w:val="12"/>
  </w:num>
  <w:num w:numId="27">
    <w:abstractNumId w:val="28"/>
  </w:num>
  <w:num w:numId="28">
    <w:abstractNumId w:val="19"/>
  </w:num>
  <w:num w:numId="29">
    <w:abstractNumId w:val="13"/>
  </w:num>
  <w:num w:numId="30">
    <w:abstractNumId w:val="4"/>
  </w:num>
  <w:num w:numId="31">
    <w:abstractNumId w:val="18"/>
  </w:num>
  <w:num w:numId="3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1B"/>
    <w:rsid w:val="000131CA"/>
    <w:rsid w:val="00026284"/>
    <w:rsid w:val="00026B19"/>
    <w:rsid w:val="0003071F"/>
    <w:rsid w:val="00046AE6"/>
    <w:rsid w:val="00081E93"/>
    <w:rsid w:val="00087953"/>
    <w:rsid w:val="000A2940"/>
    <w:rsid w:val="000B09CD"/>
    <w:rsid w:val="000D7855"/>
    <w:rsid w:val="000E2522"/>
    <w:rsid w:val="00100732"/>
    <w:rsid w:val="00102ECD"/>
    <w:rsid w:val="001045D4"/>
    <w:rsid w:val="00123003"/>
    <w:rsid w:val="00140F56"/>
    <w:rsid w:val="0014301B"/>
    <w:rsid w:val="00162BE6"/>
    <w:rsid w:val="00171C4E"/>
    <w:rsid w:val="00171D04"/>
    <w:rsid w:val="001A7941"/>
    <w:rsid w:val="001C780E"/>
    <w:rsid w:val="002129B4"/>
    <w:rsid w:val="00221B86"/>
    <w:rsid w:val="0023747F"/>
    <w:rsid w:val="002379E0"/>
    <w:rsid w:val="00243479"/>
    <w:rsid w:val="00252FBF"/>
    <w:rsid w:val="00264D2B"/>
    <w:rsid w:val="0026558C"/>
    <w:rsid w:val="00265610"/>
    <w:rsid w:val="00283F86"/>
    <w:rsid w:val="002B6F89"/>
    <w:rsid w:val="002E0ABB"/>
    <w:rsid w:val="0031357E"/>
    <w:rsid w:val="00322767"/>
    <w:rsid w:val="00326C7A"/>
    <w:rsid w:val="00326E40"/>
    <w:rsid w:val="00361973"/>
    <w:rsid w:val="00375E2C"/>
    <w:rsid w:val="00383B1C"/>
    <w:rsid w:val="0038515F"/>
    <w:rsid w:val="00386285"/>
    <w:rsid w:val="003A6154"/>
    <w:rsid w:val="003B0EDB"/>
    <w:rsid w:val="003F2057"/>
    <w:rsid w:val="003F3F2C"/>
    <w:rsid w:val="003F7DBA"/>
    <w:rsid w:val="004142E1"/>
    <w:rsid w:val="00414E14"/>
    <w:rsid w:val="00420616"/>
    <w:rsid w:val="004650AB"/>
    <w:rsid w:val="004707E2"/>
    <w:rsid w:val="004C49A1"/>
    <w:rsid w:val="004E0BFA"/>
    <w:rsid w:val="004F1797"/>
    <w:rsid w:val="004F5759"/>
    <w:rsid w:val="00501728"/>
    <w:rsid w:val="005078C6"/>
    <w:rsid w:val="00516D37"/>
    <w:rsid w:val="0057677B"/>
    <w:rsid w:val="00585046"/>
    <w:rsid w:val="00585377"/>
    <w:rsid w:val="00594E88"/>
    <w:rsid w:val="005A2489"/>
    <w:rsid w:val="005B2E65"/>
    <w:rsid w:val="005C0797"/>
    <w:rsid w:val="005C614E"/>
    <w:rsid w:val="005E0961"/>
    <w:rsid w:val="005F2093"/>
    <w:rsid w:val="00603E9E"/>
    <w:rsid w:val="00625259"/>
    <w:rsid w:val="00651455"/>
    <w:rsid w:val="00653EFE"/>
    <w:rsid w:val="00662CA4"/>
    <w:rsid w:val="006726A9"/>
    <w:rsid w:val="00674F81"/>
    <w:rsid w:val="00681195"/>
    <w:rsid w:val="00697C53"/>
    <w:rsid w:val="006B3E6B"/>
    <w:rsid w:val="006B5AD1"/>
    <w:rsid w:val="006B5DDB"/>
    <w:rsid w:val="00743BD2"/>
    <w:rsid w:val="00785375"/>
    <w:rsid w:val="007A02EA"/>
    <w:rsid w:val="007B2FEF"/>
    <w:rsid w:val="007B3B31"/>
    <w:rsid w:val="007F01EB"/>
    <w:rsid w:val="00800085"/>
    <w:rsid w:val="00825FB1"/>
    <w:rsid w:val="00833F84"/>
    <w:rsid w:val="008525AE"/>
    <w:rsid w:val="00882D34"/>
    <w:rsid w:val="00883F33"/>
    <w:rsid w:val="008847A9"/>
    <w:rsid w:val="008B7AA8"/>
    <w:rsid w:val="008F0806"/>
    <w:rsid w:val="00902F59"/>
    <w:rsid w:val="009209B9"/>
    <w:rsid w:val="0092111A"/>
    <w:rsid w:val="00930F33"/>
    <w:rsid w:val="009354C8"/>
    <w:rsid w:val="0096728F"/>
    <w:rsid w:val="009948B5"/>
    <w:rsid w:val="00995EAB"/>
    <w:rsid w:val="00996728"/>
    <w:rsid w:val="009B524B"/>
    <w:rsid w:val="009C6DC5"/>
    <w:rsid w:val="009E6968"/>
    <w:rsid w:val="009F2552"/>
    <w:rsid w:val="00A271A3"/>
    <w:rsid w:val="00A30FA1"/>
    <w:rsid w:val="00A3426B"/>
    <w:rsid w:val="00A37107"/>
    <w:rsid w:val="00A55124"/>
    <w:rsid w:val="00A62AF4"/>
    <w:rsid w:val="00A67075"/>
    <w:rsid w:val="00A77EC7"/>
    <w:rsid w:val="00A8076B"/>
    <w:rsid w:val="00A8144B"/>
    <w:rsid w:val="00B04D30"/>
    <w:rsid w:val="00B252AE"/>
    <w:rsid w:val="00B43847"/>
    <w:rsid w:val="00B45EA2"/>
    <w:rsid w:val="00B74273"/>
    <w:rsid w:val="00B86B88"/>
    <w:rsid w:val="00B9532F"/>
    <w:rsid w:val="00BA4A48"/>
    <w:rsid w:val="00BD07DF"/>
    <w:rsid w:val="00BE6D16"/>
    <w:rsid w:val="00BF4EF4"/>
    <w:rsid w:val="00C02EEE"/>
    <w:rsid w:val="00C03E99"/>
    <w:rsid w:val="00C059DC"/>
    <w:rsid w:val="00C2300B"/>
    <w:rsid w:val="00C2437B"/>
    <w:rsid w:val="00C71A5E"/>
    <w:rsid w:val="00C81891"/>
    <w:rsid w:val="00CA38CE"/>
    <w:rsid w:val="00CC0968"/>
    <w:rsid w:val="00CE198D"/>
    <w:rsid w:val="00D052B3"/>
    <w:rsid w:val="00D157FE"/>
    <w:rsid w:val="00D43F82"/>
    <w:rsid w:val="00D50344"/>
    <w:rsid w:val="00D51E21"/>
    <w:rsid w:val="00D54C41"/>
    <w:rsid w:val="00D5757C"/>
    <w:rsid w:val="00D76BEC"/>
    <w:rsid w:val="00D978FA"/>
    <w:rsid w:val="00DA3298"/>
    <w:rsid w:val="00DB4191"/>
    <w:rsid w:val="00DB4741"/>
    <w:rsid w:val="00DC4EA0"/>
    <w:rsid w:val="00DC5417"/>
    <w:rsid w:val="00E05542"/>
    <w:rsid w:val="00E119E0"/>
    <w:rsid w:val="00E15347"/>
    <w:rsid w:val="00E1616B"/>
    <w:rsid w:val="00E609AE"/>
    <w:rsid w:val="00E610C7"/>
    <w:rsid w:val="00E7020D"/>
    <w:rsid w:val="00EB19A9"/>
    <w:rsid w:val="00EC2EEB"/>
    <w:rsid w:val="00EE4622"/>
    <w:rsid w:val="00EF7158"/>
    <w:rsid w:val="00F00C50"/>
    <w:rsid w:val="00F03CC1"/>
    <w:rsid w:val="00F04888"/>
    <w:rsid w:val="00F14239"/>
    <w:rsid w:val="00F231CA"/>
    <w:rsid w:val="00F26BD2"/>
    <w:rsid w:val="00F42EC4"/>
    <w:rsid w:val="00F5236A"/>
    <w:rsid w:val="00F7519E"/>
    <w:rsid w:val="00FB1FB7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D8AC21-7A5E-45BA-B634-9E35CB8A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1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4301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14301B"/>
    <w:rPr>
      <w:rFonts w:ascii="標楷體" w:eastAsia="標楷體" w:hAnsi="Cambria" w:cs="Times New Roman"/>
      <w:b/>
      <w:bCs/>
      <w:sz w:val="48"/>
      <w:szCs w:val="48"/>
    </w:rPr>
  </w:style>
  <w:style w:type="character" w:customStyle="1" w:styleId="a3">
    <w:name w:val="清單段落 字元"/>
    <w:link w:val="a4"/>
    <w:uiPriority w:val="99"/>
    <w:locked/>
    <w:rsid w:val="0014301B"/>
  </w:style>
  <w:style w:type="paragraph" w:styleId="a4">
    <w:name w:val="List Paragraph"/>
    <w:basedOn w:val="a"/>
    <w:link w:val="a3"/>
    <w:uiPriority w:val="99"/>
    <w:qFormat/>
    <w:rsid w:val="0014301B"/>
    <w:pPr>
      <w:ind w:leftChars="200" w:left="480"/>
    </w:pPr>
  </w:style>
  <w:style w:type="paragraph" w:styleId="a5">
    <w:name w:val="header"/>
    <w:basedOn w:val="a"/>
    <w:link w:val="a6"/>
    <w:uiPriority w:val="99"/>
    <w:rsid w:val="0014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4301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43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4301B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1430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14301B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rsid w:val="0014301B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14301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uiPriority w:val="99"/>
    <w:rsid w:val="0014301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1430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c">
    <w:name w:val="Table Grid"/>
    <w:basedOn w:val="a1"/>
    <w:uiPriority w:val="99"/>
    <w:rsid w:val="0014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14301B"/>
    <w:pPr>
      <w:ind w:leftChars="200" w:left="480"/>
    </w:pPr>
    <w:rPr>
      <w:rFonts w:ascii="Times New Roman" w:hAnsi="Times New Roman"/>
      <w:kern w:val="0"/>
      <w:szCs w:val="20"/>
    </w:rPr>
  </w:style>
  <w:style w:type="character" w:customStyle="1" w:styleId="ListParagraphChar">
    <w:name w:val="List Paragraph Char"/>
    <w:link w:val="4"/>
    <w:locked/>
    <w:rsid w:val="0014301B"/>
    <w:rPr>
      <w:rFonts w:ascii="Times New Roman" w:eastAsia="新細明體" w:hAnsi="Times New Roman"/>
      <w:sz w:val="24"/>
    </w:rPr>
  </w:style>
  <w:style w:type="character" w:styleId="ad">
    <w:name w:val="annotation reference"/>
    <w:uiPriority w:val="99"/>
    <w:semiHidden/>
    <w:rsid w:val="00B4384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B43847"/>
  </w:style>
  <w:style w:type="character" w:customStyle="1" w:styleId="af">
    <w:name w:val="註解文字 字元"/>
    <w:link w:val="ae"/>
    <w:uiPriority w:val="99"/>
    <w:semiHidden/>
    <w:locked/>
    <w:rsid w:val="00B4384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B43847"/>
    <w:rPr>
      <w:b/>
      <w:bCs/>
    </w:rPr>
  </w:style>
  <w:style w:type="character" w:customStyle="1" w:styleId="af1">
    <w:name w:val="註解主旨 字元"/>
    <w:link w:val="af0"/>
    <w:uiPriority w:val="99"/>
    <w:semiHidden/>
    <w:locked/>
    <w:rsid w:val="00B4384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rsid w:val="00B43847"/>
    <w:pPr>
      <w:snapToGrid w:val="0"/>
    </w:pPr>
    <w:rPr>
      <w:sz w:val="20"/>
      <w:szCs w:val="20"/>
    </w:rPr>
  </w:style>
  <w:style w:type="character" w:customStyle="1" w:styleId="af3">
    <w:name w:val="註腳文字 字元"/>
    <w:link w:val="af2"/>
    <w:uiPriority w:val="99"/>
    <w:semiHidden/>
    <w:locked/>
    <w:rsid w:val="00B4384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uiPriority w:val="99"/>
    <w:semiHidden/>
    <w:rsid w:val="00B438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108-111年桃園市大園區公所性別主流化實施計畫</dc:title>
  <dc:subject/>
  <dc:creator>劉作耘</dc:creator>
  <cp:keywords/>
  <dc:description/>
  <cp:lastModifiedBy>宋沂芳</cp:lastModifiedBy>
  <cp:revision>24</cp:revision>
  <cp:lastPrinted>2020-11-09T09:07:00Z</cp:lastPrinted>
  <dcterms:created xsi:type="dcterms:W3CDTF">2023-03-24T00:35:00Z</dcterms:created>
  <dcterms:modified xsi:type="dcterms:W3CDTF">2023-05-01T03:23:00Z</dcterms:modified>
</cp:coreProperties>
</file>