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8CF1" w14:textId="48A9018B" w:rsidR="008C73C7" w:rsidRPr="00170ED7" w:rsidRDefault="008C73C7" w:rsidP="008C73C7">
      <w:pPr>
        <w:widowControl/>
        <w:spacing w:line="400" w:lineRule="exact"/>
        <w:ind w:rightChars="-117" w:right="-281"/>
        <w:jc w:val="center"/>
        <w:rPr>
          <w:rFonts w:ascii="標楷體" w:eastAsia="標楷體" w:hAnsi="標楷體"/>
          <w:b/>
          <w:sz w:val="32"/>
          <w:szCs w:val="32"/>
        </w:rPr>
      </w:pPr>
      <w:r w:rsidRPr="003719E2">
        <w:rPr>
          <w:rFonts w:ascii="標楷體" w:eastAsia="標楷體" w:hAnsi="標楷體" w:hint="eastAsia"/>
          <w:b/>
          <w:color w:val="FF0000"/>
          <w:sz w:val="36"/>
          <w:szCs w:val="36"/>
        </w:rPr>
        <w:t>1</w:t>
      </w:r>
      <w:r w:rsidR="003719E2" w:rsidRPr="003719E2">
        <w:rPr>
          <w:rFonts w:ascii="標楷體" w:eastAsia="標楷體" w:hAnsi="標楷體" w:hint="eastAsia"/>
          <w:b/>
          <w:color w:val="FF0000"/>
          <w:sz w:val="36"/>
          <w:szCs w:val="36"/>
        </w:rPr>
        <w:t>12</w:t>
      </w:r>
      <w:r w:rsidRPr="003719E2">
        <w:rPr>
          <w:rFonts w:ascii="標楷體" w:eastAsia="標楷體" w:hAnsi="標楷體" w:hint="eastAsia"/>
          <w:b/>
          <w:color w:val="FF0000"/>
          <w:sz w:val="36"/>
          <w:szCs w:val="36"/>
        </w:rPr>
        <w:t>-11</w:t>
      </w:r>
      <w:r w:rsidR="003719E2" w:rsidRPr="003719E2">
        <w:rPr>
          <w:rFonts w:ascii="標楷體" w:eastAsia="標楷體" w:hAnsi="標楷體" w:hint="eastAsia"/>
          <w:b/>
          <w:color w:val="FF0000"/>
          <w:sz w:val="36"/>
          <w:szCs w:val="36"/>
        </w:rPr>
        <w:t>5</w:t>
      </w:r>
      <w:r w:rsidRPr="00170ED7">
        <w:rPr>
          <w:rFonts w:ascii="標楷體" w:eastAsia="標楷體" w:hAnsi="標楷體" w:hint="eastAsia"/>
          <w:b/>
          <w:sz w:val="36"/>
          <w:szCs w:val="36"/>
        </w:rPr>
        <w:t>年桃園市龜山區公所性別主流化實施計畫</w:t>
      </w:r>
      <w:bookmarkStart w:id="0" w:name="_GoBack"/>
      <w:bookmarkEnd w:id="0"/>
    </w:p>
    <w:p w14:paraId="315DDACF" w14:textId="77777777" w:rsidR="0014301B" w:rsidRPr="00170ED7" w:rsidRDefault="0014301B" w:rsidP="00EC2EEB">
      <w:pPr>
        <w:widowControl/>
        <w:spacing w:line="400" w:lineRule="exact"/>
        <w:ind w:rightChars="-117" w:right="-281"/>
        <w:jc w:val="center"/>
        <w:rPr>
          <w:rFonts w:ascii="標楷體" w:eastAsia="標楷體" w:hAnsi="標楷體"/>
          <w:b/>
          <w:sz w:val="36"/>
          <w:szCs w:val="36"/>
        </w:rPr>
      </w:pPr>
    </w:p>
    <w:p w14:paraId="78A00832" w14:textId="106376CA" w:rsidR="0014301B" w:rsidRPr="0043254E" w:rsidRDefault="00000499" w:rsidP="00F231CA">
      <w:pPr>
        <w:pStyle w:val="4"/>
        <w:widowControl/>
        <w:numPr>
          <w:ilvl w:val="0"/>
          <w:numId w:val="4"/>
        </w:numPr>
        <w:tabs>
          <w:tab w:val="left" w:pos="709"/>
        </w:tabs>
        <w:spacing w:line="460" w:lineRule="exact"/>
        <w:ind w:leftChars="0" w:left="567" w:hanging="567"/>
        <w:jc w:val="both"/>
        <w:rPr>
          <w:rFonts w:ascii="標楷體" w:eastAsia="標楷體" w:hAnsi="標楷體"/>
          <w:sz w:val="28"/>
          <w:szCs w:val="28"/>
        </w:rPr>
      </w:pPr>
      <w:r w:rsidRPr="0043254E">
        <w:rPr>
          <w:rFonts w:ascii="標楷體" w:eastAsia="標楷體" w:hAnsi="標楷體" w:hint="eastAsia"/>
          <w:b/>
          <w:sz w:val="28"/>
          <w:szCs w:val="28"/>
        </w:rPr>
        <w:t>依據：</w:t>
      </w:r>
      <w:r w:rsidRPr="0043254E">
        <w:rPr>
          <w:rFonts w:ascii="標楷體" w:eastAsia="標楷體" w:hAnsi="標楷體" w:hint="eastAsia"/>
          <w:sz w:val="28"/>
          <w:szCs w:val="28"/>
        </w:rPr>
        <w:t>桃園市政府</w:t>
      </w:r>
      <w:r w:rsidRPr="003719E2">
        <w:rPr>
          <w:rFonts w:ascii="標楷體" w:eastAsia="標楷體" w:hAnsi="標楷體" w:hint="eastAsia"/>
          <w:color w:val="FF0000"/>
          <w:sz w:val="28"/>
          <w:szCs w:val="28"/>
        </w:rPr>
        <w:t>1</w:t>
      </w:r>
      <w:r w:rsidR="003719E2" w:rsidRPr="003719E2">
        <w:rPr>
          <w:rFonts w:ascii="標楷體" w:eastAsia="標楷體" w:hAnsi="標楷體" w:hint="eastAsia"/>
          <w:color w:val="FF0000"/>
          <w:sz w:val="28"/>
          <w:szCs w:val="28"/>
        </w:rPr>
        <w:t>12</w:t>
      </w:r>
      <w:r w:rsidRPr="003719E2">
        <w:rPr>
          <w:rFonts w:ascii="標楷體" w:eastAsia="標楷體" w:hAnsi="標楷體" w:hint="eastAsia"/>
          <w:color w:val="FF0000"/>
          <w:sz w:val="28"/>
          <w:szCs w:val="28"/>
        </w:rPr>
        <w:t>-11</w:t>
      </w:r>
      <w:r w:rsidR="003719E2" w:rsidRPr="003719E2">
        <w:rPr>
          <w:rFonts w:ascii="標楷體" w:eastAsia="標楷體" w:hAnsi="標楷體" w:hint="eastAsia"/>
          <w:color w:val="FF0000"/>
          <w:sz w:val="28"/>
          <w:szCs w:val="28"/>
        </w:rPr>
        <w:t>5</w:t>
      </w:r>
      <w:r w:rsidRPr="0043254E">
        <w:rPr>
          <w:rFonts w:ascii="標楷體" w:eastAsia="標楷體" w:hAnsi="標楷體" w:hint="eastAsia"/>
          <w:sz w:val="28"/>
          <w:szCs w:val="28"/>
        </w:rPr>
        <w:t>年推動各區公所性別主流化實施計畫辦理。</w:t>
      </w:r>
    </w:p>
    <w:p w14:paraId="2E674D91" w14:textId="77777777" w:rsidR="00794354" w:rsidRPr="0043254E" w:rsidRDefault="0014301B" w:rsidP="00F231CA">
      <w:pPr>
        <w:pStyle w:val="4"/>
        <w:widowControl/>
        <w:numPr>
          <w:ilvl w:val="0"/>
          <w:numId w:val="4"/>
        </w:numPr>
        <w:tabs>
          <w:tab w:val="left" w:pos="709"/>
        </w:tabs>
        <w:spacing w:line="460" w:lineRule="exact"/>
        <w:ind w:leftChars="0" w:left="567" w:hanging="567"/>
        <w:jc w:val="both"/>
        <w:rPr>
          <w:rFonts w:ascii="標楷體" w:eastAsia="標楷體" w:hAnsi="標楷體"/>
          <w:sz w:val="28"/>
          <w:szCs w:val="28"/>
        </w:rPr>
      </w:pPr>
      <w:r w:rsidRPr="0043254E">
        <w:rPr>
          <w:rFonts w:ascii="標楷體" w:eastAsia="標楷體" w:hAnsi="標楷體" w:hint="eastAsia"/>
          <w:b/>
          <w:sz w:val="28"/>
          <w:szCs w:val="28"/>
        </w:rPr>
        <w:t>計畫目標</w:t>
      </w:r>
      <w:r w:rsidR="00EC2EEB" w:rsidRPr="0043254E">
        <w:rPr>
          <w:rFonts w:ascii="標楷體" w:eastAsia="標楷體" w:hAnsi="標楷體" w:hint="eastAsia"/>
          <w:b/>
          <w:sz w:val="28"/>
          <w:szCs w:val="28"/>
        </w:rPr>
        <w:t>：</w:t>
      </w:r>
      <w:r w:rsidR="009879E9" w:rsidRPr="0043254E">
        <w:rPr>
          <w:rFonts w:ascii="標楷體" w:eastAsia="標楷體" w:hAnsi="標楷體" w:hint="eastAsia"/>
          <w:sz w:val="28"/>
          <w:szCs w:val="28"/>
        </w:rPr>
        <w:t>桃園市龜山區公所（以下簡稱本所）為落實性別平等觀念宣導及推動事宜，</w:t>
      </w:r>
      <w:r w:rsidR="00794354" w:rsidRPr="0043254E">
        <w:rPr>
          <w:rFonts w:ascii="標楷體" w:eastAsia="標楷體" w:hAnsi="標楷體" w:hint="eastAsia"/>
          <w:sz w:val="28"/>
          <w:szCs w:val="28"/>
        </w:rPr>
        <w:t>於業務中融入性別觀點、推展消除對婦女一切形式歧視公約(以下簡稱</w:t>
      </w:r>
      <w:proofErr w:type="spellStart"/>
      <w:r w:rsidR="00794354" w:rsidRPr="0043254E">
        <w:rPr>
          <w:rFonts w:ascii="標楷體" w:eastAsia="標楷體" w:hAnsi="標楷體" w:hint="eastAsia"/>
          <w:sz w:val="28"/>
          <w:szCs w:val="28"/>
        </w:rPr>
        <w:t>CEDAW</w:t>
      </w:r>
      <w:proofErr w:type="spellEnd"/>
      <w:r w:rsidR="00794354" w:rsidRPr="0043254E">
        <w:rPr>
          <w:rFonts w:ascii="標楷體" w:eastAsia="標楷體" w:hAnsi="標楷體" w:hint="eastAsia"/>
          <w:sz w:val="28"/>
          <w:szCs w:val="28"/>
        </w:rPr>
        <w:t>)宣導，以逐步提供不同性別不同需求之服務，落實性別平等目標。</w:t>
      </w:r>
    </w:p>
    <w:p w14:paraId="4C1780A0" w14:textId="77777777" w:rsidR="0014301B" w:rsidRPr="0043254E" w:rsidRDefault="0014301B" w:rsidP="00F231CA">
      <w:pPr>
        <w:pStyle w:val="4"/>
        <w:widowControl/>
        <w:numPr>
          <w:ilvl w:val="0"/>
          <w:numId w:val="4"/>
        </w:numPr>
        <w:tabs>
          <w:tab w:val="left" w:pos="709"/>
        </w:tabs>
        <w:spacing w:line="460" w:lineRule="exact"/>
        <w:ind w:leftChars="0" w:left="567" w:hanging="567"/>
        <w:jc w:val="both"/>
        <w:rPr>
          <w:rFonts w:ascii="標楷體" w:eastAsia="標楷體" w:hAnsi="標楷體"/>
          <w:sz w:val="28"/>
          <w:szCs w:val="28"/>
        </w:rPr>
      </w:pPr>
      <w:r w:rsidRPr="0043254E">
        <w:rPr>
          <w:rFonts w:ascii="標楷體" w:eastAsia="標楷體" w:hAnsi="標楷體" w:hint="eastAsia"/>
          <w:b/>
          <w:sz w:val="28"/>
          <w:szCs w:val="28"/>
        </w:rPr>
        <w:t>執行對象：</w:t>
      </w:r>
      <w:r w:rsidR="009F1147" w:rsidRPr="0043254E">
        <w:rPr>
          <w:rFonts w:ascii="標楷體" w:eastAsia="標楷體" w:hAnsi="標楷體" w:hint="eastAsia"/>
          <w:sz w:val="28"/>
          <w:szCs w:val="28"/>
        </w:rPr>
        <w:t>本所</w:t>
      </w:r>
      <w:r w:rsidR="00EB1885" w:rsidRPr="0043254E">
        <w:rPr>
          <w:rFonts w:ascii="標楷體" w:eastAsia="標楷體" w:hAnsi="標楷體" w:hint="eastAsia"/>
          <w:sz w:val="28"/>
          <w:szCs w:val="28"/>
        </w:rPr>
        <w:t>各課室</w:t>
      </w:r>
      <w:r w:rsidRPr="0043254E">
        <w:rPr>
          <w:rFonts w:ascii="標楷體" w:eastAsia="標楷體" w:hAnsi="標楷體" w:hint="eastAsia"/>
          <w:sz w:val="28"/>
          <w:szCs w:val="28"/>
        </w:rPr>
        <w:t>。</w:t>
      </w:r>
    </w:p>
    <w:p w14:paraId="3CAE68DF" w14:textId="0E22D6DB" w:rsidR="0014301B" w:rsidRPr="003719E2" w:rsidRDefault="0014301B" w:rsidP="00F231CA">
      <w:pPr>
        <w:pStyle w:val="4"/>
        <w:widowControl/>
        <w:numPr>
          <w:ilvl w:val="0"/>
          <w:numId w:val="4"/>
        </w:numPr>
        <w:tabs>
          <w:tab w:val="left" w:pos="709"/>
        </w:tabs>
        <w:spacing w:line="460" w:lineRule="exact"/>
        <w:ind w:leftChars="0" w:left="567" w:hanging="567"/>
        <w:jc w:val="both"/>
        <w:rPr>
          <w:rFonts w:ascii="標楷體" w:eastAsia="標楷體" w:hAnsi="標楷體"/>
          <w:color w:val="FF0000"/>
          <w:sz w:val="28"/>
          <w:szCs w:val="28"/>
        </w:rPr>
      </w:pPr>
      <w:r w:rsidRPr="0043254E">
        <w:rPr>
          <w:rFonts w:ascii="標楷體" w:eastAsia="標楷體" w:hAnsi="標楷體" w:hint="eastAsia"/>
          <w:b/>
          <w:sz w:val="28"/>
          <w:szCs w:val="28"/>
        </w:rPr>
        <w:t>實施期程：</w:t>
      </w:r>
      <w:r w:rsidRPr="003719E2">
        <w:rPr>
          <w:rFonts w:ascii="標楷體" w:eastAsia="標楷體" w:hAnsi="標楷體"/>
          <w:color w:val="FF0000"/>
          <w:sz w:val="28"/>
          <w:szCs w:val="28"/>
        </w:rPr>
        <w:t>1</w:t>
      </w:r>
      <w:r w:rsidR="003719E2" w:rsidRPr="003719E2">
        <w:rPr>
          <w:rFonts w:ascii="標楷體" w:eastAsia="標楷體" w:hAnsi="標楷體" w:hint="eastAsia"/>
          <w:color w:val="FF0000"/>
          <w:sz w:val="28"/>
          <w:szCs w:val="28"/>
        </w:rPr>
        <w:t>12</w:t>
      </w:r>
      <w:r w:rsidRPr="003719E2">
        <w:rPr>
          <w:rFonts w:ascii="標楷體" w:eastAsia="標楷體" w:hAnsi="標楷體" w:hint="eastAsia"/>
          <w:color w:val="FF0000"/>
          <w:sz w:val="28"/>
          <w:szCs w:val="28"/>
        </w:rPr>
        <w:t>年</w:t>
      </w:r>
      <w:r w:rsidRPr="003719E2">
        <w:rPr>
          <w:rFonts w:ascii="標楷體" w:eastAsia="標楷體" w:hAnsi="標楷體"/>
          <w:color w:val="FF0000"/>
          <w:sz w:val="28"/>
          <w:szCs w:val="28"/>
        </w:rPr>
        <w:t>1</w:t>
      </w:r>
      <w:r w:rsidRPr="003719E2">
        <w:rPr>
          <w:rFonts w:ascii="標楷體" w:eastAsia="標楷體" w:hAnsi="標楷體" w:hint="eastAsia"/>
          <w:color w:val="FF0000"/>
          <w:sz w:val="28"/>
          <w:szCs w:val="28"/>
        </w:rPr>
        <w:t>月至</w:t>
      </w:r>
      <w:r w:rsidRPr="003719E2">
        <w:rPr>
          <w:rFonts w:ascii="標楷體" w:eastAsia="標楷體" w:hAnsi="標楷體"/>
          <w:color w:val="FF0000"/>
          <w:sz w:val="28"/>
          <w:szCs w:val="28"/>
        </w:rPr>
        <w:t>1</w:t>
      </w:r>
      <w:r w:rsidRPr="003719E2">
        <w:rPr>
          <w:rFonts w:ascii="標楷體" w:eastAsia="標楷體" w:hAnsi="標楷體" w:hint="eastAsia"/>
          <w:color w:val="FF0000"/>
          <w:sz w:val="28"/>
          <w:szCs w:val="28"/>
        </w:rPr>
        <w:t>1</w:t>
      </w:r>
      <w:r w:rsidR="003719E2" w:rsidRPr="003719E2">
        <w:rPr>
          <w:rFonts w:ascii="標楷體" w:eastAsia="標楷體" w:hAnsi="標楷體" w:hint="eastAsia"/>
          <w:color w:val="FF0000"/>
          <w:sz w:val="28"/>
          <w:szCs w:val="28"/>
        </w:rPr>
        <w:t>5</w:t>
      </w:r>
      <w:r w:rsidRPr="003719E2">
        <w:rPr>
          <w:rFonts w:ascii="標楷體" w:eastAsia="標楷體" w:hAnsi="標楷體" w:hint="eastAsia"/>
          <w:color w:val="FF0000"/>
          <w:sz w:val="28"/>
          <w:szCs w:val="28"/>
        </w:rPr>
        <w:t>年</w:t>
      </w:r>
      <w:r w:rsidRPr="003719E2">
        <w:rPr>
          <w:rFonts w:ascii="標楷體" w:eastAsia="標楷體" w:hAnsi="標楷體"/>
          <w:color w:val="FF0000"/>
          <w:sz w:val="28"/>
          <w:szCs w:val="28"/>
        </w:rPr>
        <w:t>12</w:t>
      </w:r>
      <w:r w:rsidRPr="003719E2">
        <w:rPr>
          <w:rFonts w:ascii="標楷體" w:eastAsia="標楷體" w:hAnsi="標楷體" w:hint="eastAsia"/>
          <w:color w:val="FF0000"/>
          <w:sz w:val="28"/>
          <w:szCs w:val="28"/>
        </w:rPr>
        <w:t>月。</w:t>
      </w:r>
    </w:p>
    <w:p w14:paraId="09F9F853" w14:textId="77777777" w:rsidR="0014301B" w:rsidRPr="0043254E" w:rsidRDefault="0014301B" w:rsidP="00F231CA">
      <w:pPr>
        <w:pStyle w:val="4"/>
        <w:widowControl/>
        <w:numPr>
          <w:ilvl w:val="0"/>
          <w:numId w:val="4"/>
        </w:numPr>
        <w:tabs>
          <w:tab w:val="left" w:pos="709"/>
        </w:tabs>
        <w:spacing w:line="460" w:lineRule="exact"/>
        <w:ind w:leftChars="0" w:left="567" w:hanging="567"/>
        <w:jc w:val="both"/>
        <w:rPr>
          <w:rFonts w:ascii="標楷體" w:eastAsia="標楷體" w:hAnsi="標楷體"/>
          <w:b/>
          <w:sz w:val="28"/>
          <w:szCs w:val="28"/>
        </w:rPr>
      </w:pPr>
      <w:r w:rsidRPr="0043254E">
        <w:rPr>
          <w:rFonts w:ascii="標楷體" w:eastAsia="標楷體" w:hAnsi="標楷體" w:hint="eastAsia"/>
          <w:b/>
          <w:sz w:val="28"/>
          <w:szCs w:val="28"/>
        </w:rPr>
        <w:t>實</w:t>
      </w:r>
      <w:r w:rsidRPr="0043254E">
        <w:rPr>
          <w:rFonts w:ascii="標楷體" w:eastAsia="標楷體" w:hAnsi="標楷體"/>
          <w:b/>
          <w:sz w:val="28"/>
          <w:szCs w:val="28"/>
        </w:rPr>
        <w:t>施策略</w:t>
      </w:r>
      <w:r w:rsidRPr="0043254E">
        <w:rPr>
          <w:rFonts w:ascii="標楷體" w:eastAsia="標楷體" w:hAnsi="標楷體" w:hint="eastAsia"/>
          <w:b/>
          <w:sz w:val="28"/>
          <w:szCs w:val="28"/>
        </w:rPr>
        <w:t>與</w:t>
      </w:r>
      <w:r w:rsidRPr="0043254E">
        <w:rPr>
          <w:rFonts w:ascii="標楷體" w:eastAsia="標楷體" w:hAnsi="標楷體"/>
          <w:b/>
          <w:sz w:val="28"/>
          <w:szCs w:val="28"/>
        </w:rPr>
        <w:t>措施</w:t>
      </w:r>
      <w:r w:rsidRPr="0043254E">
        <w:rPr>
          <w:rFonts w:ascii="標楷體" w:eastAsia="標楷體" w:hAnsi="標楷體" w:hint="eastAsia"/>
          <w:b/>
          <w:sz w:val="28"/>
          <w:szCs w:val="28"/>
        </w:rPr>
        <w:t>：</w:t>
      </w:r>
    </w:p>
    <w:p w14:paraId="55B83C4D" w14:textId="77777777" w:rsidR="0014301B" w:rsidRPr="0043254E" w:rsidRDefault="0014301B"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推動體制：</w:t>
      </w:r>
    </w:p>
    <w:p w14:paraId="17EE4000" w14:textId="34CCC3D7" w:rsidR="0014301B" w:rsidRPr="0043254E" w:rsidRDefault="0014301B" w:rsidP="00F231CA">
      <w:pPr>
        <w:pStyle w:val="21"/>
        <w:widowControl/>
        <w:numPr>
          <w:ilvl w:val="0"/>
          <w:numId w:val="6"/>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性</w:t>
      </w:r>
      <w:r w:rsidRPr="0043254E">
        <w:rPr>
          <w:rFonts w:ascii="標楷體" w:eastAsia="標楷體" w:hAnsi="標楷體"/>
          <w:sz w:val="28"/>
          <w:szCs w:val="28"/>
        </w:rPr>
        <w:t>別平等專</w:t>
      </w:r>
      <w:r w:rsidRPr="0043254E">
        <w:rPr>
          <w:rFonts w:ascii="標楷體" w:eastAsia="標楷體" w:hAnsi="標楷體" w:hint="eastAsia"/>
          <w:sz w:val="28"/>
          <w:szCs w:val="28"/>
        </w:rPr>
        <w:t>案</w:t>
      </w:r>
      <w:r w:rsidRPr="0043254E">
        <w:rPr>
          <w:rFonts w:ascii="標楷體" w:eastAsia="標楷體" w:hAnsi="標楷體"/>
          <w:sz w:val="28"/>
          <w:szCs w:val="28"/>
        </w:rPr>
        <w:t>小組：</w:t>
      </w:r>
      <w:r w:rsidR="009879E9" w:rsidRPr="003719E2">
        <w:rPr>
          <w:rFonts w:ascii="標楷體" w:eastAsia="標楷體" w:hAnsi="標楷體" w:hint="eastAsia"/>
          <w:color w:val="FF0000"/>
          <w:sz w:val="28"/>
          <w:szCs w:val="28"/>
        </w:rPr>
        <w:t>本</w:t>
      </w:r>
      <w:r w:rsidRPr="003719E2">
        <w:rPr>
          <w:rFonts w:ascii="標楷體" w:eastAsia="標楷體" w:hAnsi="標楷體" w:hint="eastAsia"/>
          <w:color w:val="FF0000"/>
          <w:sz w:val="28"/>
          <w:szCs w:val="28"/>
        </w:rPr>
        <w:t>所</w:t>
      </w:r>
      <w:r w:rsidRPr="003719E2">
        <w:rPr>
          <w:rFonts w:ascii="標楷體" w:eastAsia="標楷體" w:hAnsi="標楷體"/>
          <w:color w:val="FF0000"/>
          <w:sz w:val="28"/>
          <w:szCs w:val="28"/>
        </w:rPr>
        <w:t>成立</w:t>
      </w:r>
      <w:r w:rsidRPr="003719E2">
        <w:rPr>
          <w:rFonts w:ascii="標楷體" w:eastAsia="標楷體" w:hAnsi="標楷體" w:hint="eastAsia"/>
          <w:color w:val="FF0000"/>
          <w:sz w:val="28"/>
          <w:szCs w:val="28"/>
        </w:rPr>
        <w:t>任</w:t>
      </w:r>
      <w:proofErr w:type="gramStart"/>
      <w:r w:rsidRPr="003719E2">
        <w:rPr>
          <w:rFonts w:ascii="標楷體" w:eastAsia="標楷體" w:hAnsi="標楷體" w:hint="eastAsia"/>
          <w:color w:val="FF0000"/>
          <w:sz w:val="28"/>
          <w:szCs w:val="28"/>
        </w:rPr>
        <w:t>一</w:t>
      </w:r>
      <w:proofErr w:type="gramEnd"/>
      <w:r w:rsidRPr="003719E2">
        <w:rPr>
          <w:rFonts w:ascii="標楷體" w:eastAsia="標楷體" w:hAnsi="標楷體" w:hint="eastAsia"/>
          <w:color w:val="FF0000"/>
          <w:sz w:val="28"/>
          <w:szCs w:val="28"/>
        </w:rPr>
        <w:t>性別不</w:t>
      </w:r>
      <w:r w:rsidR="000131CA" w:rsidRPr="003719E2">
        <w:rPr>
          <w:rFonts w:ascii="標楷體" w:eastAsia="標楷體" w:hAnsi="標楷體"/>
          <w:color w:val="FF0000"/>
          <w:sz w:val="28"/>
          <w:szCs w:val="28"/>
        </w:rPr>
        <w:t>得</w:t>
      </w:r>
      <w:r w:rsidR="000131CA" w:rsidRPr="003719E2">
        <w:rPr>
          <w:rFonts w:ascii="標楷體" w:eastAsia="標楷體" w:hAnsi="標楷體" w:hint="eastAsia"/>
          <w:color w:val="FF0000"/>
          <w:sz w:val="28"/>
          <w:szCs w:val="28"/>
        </w:rPr>
        <w:t>低</w:t>
      </w:r>
      <w:r w:rsidRPr="003719E2">
        <w:rPr>
          <w:rFonts w:ascii="標楷體" w:eastAsia="標楷體" w:hAnsi="標楷體"/>
          <w:color w:val="FF0000"/>
          <w:sz w:val="28"/>
          <w:szCs w:val="28"/>
        </w:rPr>
        <w:t>於</w:t>
      </w:r>
      <w:r w:rsidR="003719E2" w:rsidRPr="003719E2">
        <w:rPr>
          <w:rFonts w:ascii="標楷體" w:eastAsia="標楷體" w:hAnsi="標楷體" w:hint="eastAsia"/>
          <w:color w:val="FF0000"/>
          <w:sz w:val="28"/>
          <w:szCs w:val="28"/>
        </w:rPr>
        <w:t>1/3</w:t>
      </w:r>
      <w:r w:rsidRPr="003719E2">
        <w:rPr>
          <w:rFonts w:ascii="標楷體" w:eastAsia="標楷體" w:hAnsi="標楷體" w:hint="eastAsia"/>
          <w:color w:val="FF0000"/>
          <w:sz w:val="28"/>
          <w:szCs w:val="28"/>
        </w:rPr>
        <w:t>之</w:t>
      </w:r>
      <w:r w:rsidRPr="003719E2">
        <w:rPr>
          <w:rFonts w:ascii="標楷體" w:eastAsia="標楷體" w:hAnsi="標楷體"/>
          <w:color w:val="FF0000"/>
          <w:sz w:val="28"/>
          <w:szCs w:val="28"/>
        </w:rPr>
        <w:t>性別平等專</w:t>
      </w:r>
      <w:r w:rsidRPr="003719E2">
        <w:rPr>
          <w:rFonts w:ascii="標楷體" w:eastAsia="標楷體" w:hAnsi="標楷體" w:hint="eastAsia"/>
          <w:color w:val="FF0000"/>
          <w:sz w:val="28"/>
          <w:szCs w:val="28"/>
        </w:rPr>
        <w:t>案</w:t>
      </w:r>
      <w:r w:rsidRPr="003719E2">
        <w:rPr>
          <w:rFonts w:ascii="標楷體" w:eastAsia="標楷體" w:hAnsi="標楷體"/>
          <w:color w:val="FF0000"/>
          <w:sz w:val="28"/>
          <w:szCs w:val="28"/>
        </w:rPr>
        <w:t>小組，</w:t>
      </w:r>
      <w:r w:rsidR="003719E2" w:rsidRPr="003719E2">
        <w:rPr>
          <w:rFonts w:ascii="標楷體" w:eastAsia="標楷體" w:hAnsi="標楷體" w:hint="eastAsia"/>
          <w:color w:val="FF0000"/>
          <w:sz w:val="28"/>
          <w:szCs w:val="28"/>
        </w:rPr>
        <w:t>並配合113年性平考核建議，朝40%邁進。</w:t>
      </w:r>
      <w:r w:rsidRPr="0043254E">
        <w:rPr>
          <w:rFonts w:ascii="標楷體" w:eastAsia="標楷體" w:hAnsi="標楷體" w:hint="eastAsia"/>
          <w:sz w:val="28"/>
          <w:szCs w:val="28"/>
        </w:rPr>
        <w:t>區長</w:t>
      </w:r>
      <w:r w:rsidRPr="0043254E">
        <w:rPr>
          <w:rFonts w:ascii="標楷體" w:eastAsia="標楷體" w:hAnsi="標楷體"/>
          <w:sz w:val="28"/>
          <w:szCs w:val="28"/>
        </w:rPr>
        <w:t>為召集人</w:t>
      </w:r>
      <w:r w:rsidRPr="0043254E">
        <w:rPr>
          <w:rFonts w:ascii="標楷體" w:eastAsia="標楷體" w:hAnsi="標楷體" w:hint="eastAsia"/>
          <w:sz w:val="28"/>
          <w:szCs w:val="28"/>
        </w:rPr>
        <w:t>，主任秘書</w:t>
      </w:r>
      <w:r w:rsidRPr="0043254E">
        <w:rPr>
          <w:rFonts w:ascii="標楷體" w:eastAsia="標楷體" w:hAnsi="標楷體"/>
          <w:sz w:val="28"/>
          <w:szCs w:val="28"/>
        </w:rPr>
        <w:t>為副召集人，</w:t>
      </w:r>
      <w:r w:rsidRPr="0043254E">
        <w:rPr>
          <w:rFonts w:ascii="標楷體" w:eastAsia="標楷體" w:hAnsi="標楷體" w:hint="eastAsia"/>
          <w:sz w:val="28"/>
          <w:szCs w:val="28"/>
        </w:rPr>
        <w:t>並</w:t>
      </w:r>
      <w:r w:rsidRPr="0043254E">
        <w:rPr>
          <w:rFonts w:ascii="標楷體" w:eastAsia="標楷體" w:hAnsi="標楷體"/>
          <w:sz w:val="28"/>
          <w:szCs w:val="28"/>
        </w:rPr>
        <w:t>邀集</w:t>
      </w:r>
      <w:r w:rsidRPr="0043254E">
        <w:rPr>
          <w:rFonts w:ascii="標楷體" w:eastAsia="標楷體" w:hAnsi="標楷體" w:hint="eastAsia"/>
          <w:sz w:val="28"/>
          <w:szCs w:val="28"/>
        </w:rPr>
        <w:t>各課室主管</w:t>
      </w:r>
      <w:r w:rsidRPr="0043254E">
        <w:rPr>
          <w:rFonts w:ascii="標楷體" w:eastAsia="標楷體" w:hAnsi="標楷體"/>
          <w:sz w:val="28"/>
          <w:szCs w:val="28"/>
        </w:rPr>
        <w:t>、性別議題聯絡人</w:t>
      </w:r>
      <w:r w:rsidRPr="0043254E">
        <w:rPr>
          <w:rFonts w:ascii="標楷體" w:eastAsia="標楷體" w:hAnsi="標楷體" w:hint="eastAsia"/>
          <w:sz w:val="28"/>
          <w:szCs w:val="28"/>
        </w:rPr>
        <w:t>及</w:t>
      </w:r>
      <w:r w:rsidR="009879E9" w:rsidRPr="0043254E">
        <w:rPr>
          <w:rFonts w:ascii="標楷體" w:eastAsia="標楷體" w:hAnsi="標楷體" w:hint="eastAsia"/>
          <w:sz w:val="28"/>
          <w:szCs w:val="28"/>
        </w:rPr>
        <w:t>本</w:t>
      </w:r>
      <w:r w:rsidRPr="0043254E">
        <w:rPr>
          <w:rFonts w:ascii="標楷體" w:eastAsia="標楷體" w:hAnsi="標楷體" w:hint="eastAsia"/>
          <w:sz w:val="28"/>
          <w:szCs w:val="28"/>
        </w:rPr>
        <w:t>所</w:t>
      </w:r>
      <w:r w:rsidRPr="0043254E">
        <w:rPr>
          <w:rFonts w:ascii="標楷體" w:eastAsia="標楷體" w:hAnsi="標楷體"/>
          <w:sz w:val="28"/>
          <w:szCs w:val="28"/>
        </w:rPr>
        <w:t>其他具性別平等</w:t>
      </w:r>
      <w:r w:rsidRPr="0043254E">
        <w:rPr>
          <w:rFonts w:ascii="標楷體" w:eastAsia="標楷體" w:hAnsi="標楷體" w:hint="eastAsia"/>
          <w:sz w:val="28"/>
          <w:szCs w:val="28"/>
        </w:rPr>
        <w:t>資</w:t>
      </w:r>
      <w:r w:rsidRPr="0043254E">
        <w:rPr>
          <w:rFonts w:ascii="標楷體" w:eastAsia="標楷體" w:hAnsi="標楷體"/>
          <w:sz w:val="28"/>
          <w:szCs w:val="28"/>
        </w:rPr>
        <w:t>格</w:t>
      </w:r>
      <w:r w:rsidRPr="0043254E">
        <w:rPr>
          <w:rFonts w:ascii="標楷體" w:eastAsia="標楷體" w:hAnsi="標楷體" w:hint="eastAsia"/>
          <w:sz w:val="28"/>
          <w:szCs w:val="28"/>
        </w:rPr>
        <w:t>之</w:t>
      </w:r>
      <w:r w:rsidRPr="0043254E">
        <w:rPr>
          <w:rFonts w:ascii="標楷體" w:eastAsia="標楷體" w:hAnsi="標楷體"/>
          <w:sz w:val="28"/>
          <w:szCs w:val="28"/>
        </w:rPr>
        <w:t>人員</w:t>
      </w:r>
      <w:proofErr w:type="gramStart"/>
      <w:r w:rsidRPr="0043254E">
        <w:rPr>
          <w:rFonts w:ascii="標楷體" w:eastAsia="標楷體" w:hAnsi="標楷體" w:hint="eastAsia"/>
          <w:sz w:val="28"/>
          <w:szCs w:val="28"/>
        </w:rPr>
        <w:t>擔任內聘委員</w:t>
      </w:r>
      <w:proofErr w:type="gramEnd"/>
      <w:r w:rsidRPr="0043254E">
        <w:rPr>
          <w:rFonts w:ascii="標楷體" w:eastAsia="標楷體" w:hAnsi="標楷體" w:hint="eastAsia"/>
          <w:sz w:val="28"/>
          <w:szCs w:val="28"/>
        </w:rPr>
        <w:t>，並得聘請1位中央或地方性別平等專家學者擔任外聘委員，</w:t>
      </w:r>
      <w:r w:rsidRPr="0043254E">
        <w:rPr>
          <w:rFonts w:ascii="標楷體" w:eastAsia="標楷體" w:hAnsi="標楷體"/>
          <w:sz w:val="28"/>
          <w:szCs w:val="28"/>
        </w:rPr>
        <w:t>共同</w:t>
      </w:r>
      <w:r w:rsidRPr="0043254E">
        <w:rPr>
          <w:rFonts w:ascii="標楷體" w:eastAsia="標楷體" w:hAnsi="標楷體" w:hint="eastAsia"/>
          <w:sz w:val="28"/>
          <w:szCs w:val="28"/>
        </w:rPr>
        <w:t>成</w:t>
      </w:r>
      <w:r w:rsidRPr="0043254E">
        <w:rPr>
          <w:rFonts w:ascii="標楷體" w:eastAsia="標楷體" w:hAnsi="標楷體"/>
          <w:sz w:val="28"/>
          <w:szCs w:val="28"/>
        </w:rPr>
        <w:t>立</w:t>
      </w:r>
      <w:r w:rsidRPr="0043254E">
        <w:rPr>
          <w:rFonts w:ascii="標楷體" w:eastAsia="標楷體" w:hAnsi="標楷體" w:hint="eastAsia"/>
          <w:sz w:val="28"/>
          <w:szCs w:val="28"/>
        </w:rPr>
        <w:t>專案</w:t>
      </w:r>
      <w:r w:rsidRPr="0043254E">
        <w:rPr>
          <w:rFonts w:ascii="標楷體" w:eastAsia="標楷體" w:hAnsi="標楷體"/>
          <w:sz w:val="28"/>
          <w:szCs w:val="28"/>
        </w:rPr>
        <w:t>小組</w:t>
      </w:r>
      <w:r w:rsidRPr="0043254E">
        <w:rPr>
          <w:rFonts w:ascii="標楷體" w:eastAsia="標楷體" w:hAnsi="標楷體" w:hint="eastAsia"/>
          <w:sz w:val="28"/>
          <w:szCs w:val="28"/>
        </w:rPr>
        <w:t>。</w:t>
      </w:r>
    </w:p>
    <w:p w14:paraId="2A19F44D" w14:textId="77777777" w:rsidR="0014301B" w:rsidRPr="0043254E" w:rsidRDefault="0014301B" w:rsidP="00F231CA">
      <w:pPr>
        <w:pStyle w:val="21"/>
        <w:widowControl/>
        <w:numPr>
          <w:ilvl w:val="0"/>
          <w:numId w:val="6"/>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性別議題聯絡人</w:t>
      </w:r>
      <w:r w:rsidR="000A2940" w:rsidRPr="0043254E">
        <w:rPr>
          <w:rFonts w:ascii="標楷體" w:eastAsia="標楷體" w:hAnsi="標楷體" w:hint="eastAsia"/>
          <w:sz w:val="28"/>
          <w:szCs w:val="28"/>
        </w:rPr>
        <w:t>及性別議題代理聯絡人</w:t>
      </w:r>
      <w:r w:rsidRPr="0043254E">
        <w:rPr>
          <w:rFonts w:ascii="標楷體" w:eastAsia="標楷體" w:hAnsi="標楷體" w:hint="eastAsia"/>
          <w:sz w:val="28"/>
          <w:szCs w:val="28"/>
        </w:rPr>
        <w:t>：</w:t>
      </w:r>
      <w:r w:rsidR="009879E9" w:rsidRPr="0043254E">
        <w:rPr>
          <w:rFonts w:ascii="標楷體" w:eastAsia="標楷體" w:hAnsi="標楷體" w:hint="eastAsia"/>
          <w:sz w:val="28"/>
          <w:szCs w:val="28"/>
        </w:rPr>
        <w:t>由區長</w:t>
      </w:r>
      <w:r w:rsidRPr="0043254E">
        <w:rPr>
          <w:rFonts w:ascii="標楷體" w:eastAsia="標楷體" w:hAnsi="標楷體" w:hint="eastAsia"/>
          <w:sz w:val="28"/>
          <w:szCs w:val="28"/>
        </w:rPr>
        <w:t>指派課長以上層級1人擔任性別議題聯絡人，另指派1人擔任</w:t>
      </w:r>
      <w:r w:rsidR="005078C6" w:rsidRPr="0043254E">
        <w:rPr>
          <w:rFonts w:ascii="標楷體" w:eastAsia="標楷體" w:hAnsi="標楷體" w:hint="eastAsia"/>
          <w:sz w:val="28"/>
          <w:szCs w:val="28"/>
        </w:rPr>
        <w:t>性別議題</w:t>
      </w:r>
      <w:r w:rsidR="000A2940" w:rsidRPr="0043254E">
        <w:rPr>
          <w:rFonts w:ascii="標楷體" w:eastAsia="標楷體" w:hAnsi="標楷體" w:hint="eastAsia"/>
          <w:sz w:val="28"/>
          <w:szCs w:val="28"/>
        </w:rPr>
        <w:t>代理</w:t>
      </w:r>
      <w:r w:rsidRPr="0043254E">
        <w:rPr>
          <w:rFonts w:ascii="標楷體" w:eastAsia="標楷體" w:hAnsi="標楷體" w:hint="eastAsia"/>
          <w:sz w:val="28"/>
          <w:szCs w:val="28"/>
        </w:rPr>
        <w:t>人，負責性別主流化業務聯絡窗口。</w:t>
      </w:r>
    </w:p>
    <w:p w14:paraId="40BDFF92" w14:textId="5BA59181" w:rsidR="0014301B" w:rsidRPr="0043254E" w:rsidRDefault="00171D04"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擬訂</w:t>
      </w:r>
      <w:r w:rsidR="002E0ABB" w:rsidRPr="0043254E">
        <w:rPr>
          <w:rFonts w:ascii="標楷體" w:eastAsia="標楷體" w:hAnsi="標楷體" w:hint="eastAsia"/>
          <w:sz w:val="28"/>
          <w:szCs w:val="28"/>
        </w:rPr>
        <w:t>計畫</w:t>
      </w:r>
      <w:r w:rsidR="0014301B" w:rsidRPr="0043254E">
        <w:rPr>
          <w:rFonts w:ascii="標楷體" w:eastAsia="標楷體" w:hAnsi="標楷體" w:hint="eastAsia"/>
          <w:sz w:val="28"/>
          <w:szCs w:val="28"/>
        </w:rPr>
        <w:t>：</w:t>
      </w:r>
      <w:r w:rsidR="0014301B" w:rsidRPr="003719E2">
        <w:rPr>
          <w:rFonts w:ascii="標楷體" w:eastAsia="標楷體" w:hAnsi="標楷體" w:hint="eastAsia"/>
          <w:color w:val="FF0000"/>
          <w:sz w:val="28"/>
          <w:szCs w:val="28"/>
        </w:rPr>
        <w:t>擬訂未來</w:t>
      </w:r>
      <w:r w:rsidR="0014301B" w:rsidRPr="003719E2">
        <w:rPr>
          <w:rFonts w:ascii="標楷體" w:eastAsia="標楷體" w:hAnsi="標楷體"/>
          <w:color w:val="FF0000"/>
          <w:sz w:val="28"/>
          <w:szCs w:val="28"/>
        </w:rPr>
        <w:t>4</w:t>
      </w:r>
      <w:r w:rsidR="0014301B" w:rsidRPr="003719E2">
        <w:rPr>
          <w:rFonts w:ascii="標楷體" w:eastAsia="標楷體" w:hAnsi="標楷體" w:hint="eastAsia"/>
          <w:color w:val="FF0000"/>
          <w:sz w:val="28"/>
          <w:szCs w:val="28"/>
        </w:rPr>
        <w:t>年(1</w:t>
      </w:r>
      <w:r w:rsidR="003719E2" w:rsidRPr="003719E2">
        <w:rPr>
          <w:rFonts w:ascii="標楷體" w:eastAsia="標楷體" w:hAnsi="標楷體" w:hint="eastAsia"/>
          <w:color w:val="FF0000"/>
          <w:sz w:val="28"/>
          <w:szCs w:val="28"/>
        </w:rPr>
        <w:t>12</w:t>
      </w:r>
      <w:r w:rsidR="0014301B" w:rsidRPr="003719E2">
        <w:rPr>
          <w:rFonts w:ascii="標楷體" w:eastAsia="標楷體" w:hAnsi="標楷體" w:hint="eastAsia"/>
          <w:color w:val="FF0000"/>
          <w:sz w:val="28"/>
          <w:szCs w:val="28"/>
        </w:rPr>
        <w:t>-11</w:t>
      </w:r>
      <w:r w:rsidR="003719E2" w:rsidRPr="003719E2">
        <w:rPr>
          <w:rFonts w:ascii="標楷體" w:eastAsia="標楷體" w:hAnsi="標楷體" w:hint="eastAsia"/>
          <w:color w:val="FF0000"/>
          <w:sz w:val="28"/>
          <w:szCs w:val="28"/>
        </w:rPr>
        <w:t>5</w:t>
      </w:r>
      <w:r w:rsidR="0014301B" w:rsidRPr="003719E2">
        <w:rPr>
          <w:rFonts w:ascii="標楷體" w:eastAsia="標楷體" w:hAnsi="標楷體" w:hint="eastAsia"/>
          <w:color w:val="FF0000"/>
          <w:sz w:val="28"/>
          <w:szCs w:val="28"/>
        </w:rPr>
        <w:t>年)推動性別主流化實施計畫，</w:t>
      </w:r>
      <w:r w:rsidR="007A02EA" w:rsidRPr="003719E2">
        <w:rPr>
          <w:rFonts w:ascii="標楷體" w:eastAsia="標楷體" w:hAnsi="標楷體" w:hint="eastAsia"/>
          <w:color w:val="FF0000"/>
          <w:sz w:val="28"/>
          <w:szCs w:val="28"/>
        </w:rPr>
        <w:t>1</w:t>
      </w:r>
      <w:r w:rsidR="003719E2" w:rsidRPr="003719E2">
        <w:rPr>
          <w:rFonts w:ascii="標楷體" w:eastAsia="標楷體" w:hAnsi="標楷體" w:hint="eastAsia"/>
          <w:color w:val="FF0000"/>
          <w:sz w:val="28"/>
          <w:szCs w:val="28"/>
        </w:rPr>
        <w:t>12</w:t>
      </w:r>
      <w:r w:rsidR="007A02EA" w:rsidRPr="003719E2">
        <w:rPr>
          <w:rFonts w:ascii="標楷體" w:eastAsia="標楷體" w:hAnsi="標楷體" w:hint="eastAsia"/>
          <w:color w:val="FF0000"/>
          <w:sz w:val="28"/>
          <w:szCs w:val="28"/>
        </w:rPr>
        <w:t>年</w:t>
      </w:r>
      <w:r w:rsidR="007A02EA" w:rsidRPr="003719E2">
        <w:rPr>
          <w:rFonts w:ascii="標楷體" w:eastAsia="標楷體" w:hAnsi="標楷體"/>
          <w:color w:val="FF0000"/>
          <w:sz w:val="28"/>
          <w:szCs w:val="28"/>
        </w:rPr>
        <w:t>4</w:t>
      </w:r>
      <w:r w:rsidR="007A02EA" w:rsidRPr="003719E2">
        <w:rPr>
          <w:rFonts w:ascii="標楷體" w:eastAsia="標楷體" w:hAnsi="標楷體" w:hint="eastAsia"/>
          <w:color w:val="FF0000"/>
          <w:sz w:val="28"/>
          <w:szCs w:val="28"/>
        </w:rPr>
        <w:t>月底前</w:t>
      </w:r>
      <w:r w:rsidR="007A02EA" w:rsidRPr="0043254E">
        <w:rPr>
          <w:rFonts w:ascii="標楷體" w:eastAsia="標楷體" w:hAnsi="標楷體" w:hint="eastAsia"/>
          <w:sz w:val="28"/>
          <w:szCs w:val="28"/>
        </w:rPr>
        <w:t>需提報</w:t>
      </w:r>
      <w:r w:rsidR="00021228" w:rsidRPr="0043254E">
        <w:rPr>
          <w:rFonts w:ascii="標楷體" w:eastAsia="標楷體" w:hAnsi="標楷體" w:hint="eastAsia"/>
          <w:sz w:val="28"/>
          <w:szCs w:val="28"/>
        </w:rPr>
        <w:t>性</w:t>
      </w:r>
      <w:r w:rsidR="00021228" w:rsidRPr="0043254E">
        <w:rPr>
          <w:rFonts w:ascii="標楷體" w:eastAsia="標楷體" w:hAnsi="標楷體"/>
          <w:sz w:val="28"/>
          <w:szCs w:val="28"/>
        </w:rPr>
        <w:t>別平等專</w:t>
      </w:r>
      <w:r w:rsidR="00021228" w:rsidRPr="0043254E">
        <w:rPr>
          <w:rFonts w:ascii="標楷體" w:eastAsia="標楷體" w:hAnsi="標楷體" w:hint="eastAsia"/>
          <w:sz w:val="28"/>
          <w:szCs w:val="28"/>
        </w:rPr>
        <w:t>案</w:t>
      </w:r>
      <w:r w:rsidR="00021228" w:rsidRPr="0043254E">
        <w:rPr>
          <w:rFonts w:ascii="標楷體" w:eastAsia="標楷體" w:hAnsi="標楷體"/>
          <w:sz w:val="28"/>
          <w:szCs w:val="28"/>
        </w:rPr>
        <w:t>小組</w:t>
      </w:r>
      <w:r w:rsidR="00021228" w:rsidRPr="0043254E">
        <w:rPr>
          <w:rFonts w:ascii="標楷體" w:eastAsia="標楷體" w:hAnsi="標楷體" w:hint="eastAsia"/>
          <w:sz w:val="28"/>
          <w:szCs w:val="28"/>
        </w:rPr>
        <w:t>討論後，以電子郵件報送性別平等辦公室</w:t>
      </w:r>
      <w:r w:rsidR="007A02EA" w:rsidRPr="0043254E">
        <w:rPr>
          <w:rFonts w:ascii="標楷體" w:eastAsia="標楷體" w:hAnsi="標楷體" w:hint="eastAsia"/>
          <w:sz w:val="28"/>
          <w:szCs w:val="28"/>
        </w:rPr>
        <w:t>。</w:t>
      </w:r>
    </w:p>
    <w:p w14:paraId="54025676" w14:textId="3A77B7FA" w:rsidR="0014301B" w:rsidRDefault="0014301B"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定期召開</w:t>
      </w:r>
      <w:r w:rsidR="006004F2">
        <w:rPr>
          <w:rFonts w:ascii="標楷體" w:eastAsia="標楷體" w:hAnsi="標楷體" w:hint="eastAsia"/>
          <w:sz w:val="28"/>
          <w:szCs w:val="28"/>
        </w:rPr>
        <w:t>性平專案小組</w:t>
      </w:r>
      <w:r w:rsidRPr="0043254E">
        <w:rPr>
          <w:rFonts w:ascii="標楷體" w:eastAsia="標楷體" w:hAnsi="標楷體" w:hint="eastAsia"/>
          <w:sz w:val="28"/>
          <w:szCs w:val="28"/>
        </w:rPr>
        <w:t>會議：</w:t>
      </w:r>
    </w:p>
    <w:p w14:paraId="57BAF12C" w14:textId="39C30EDC" w:rsidR="006004F2" w:rsidRDefault="006004F2" w:rsidP="006004F2">
      <w:pPr>
        <w:pStyle w:val="4"/>
        <w:widowControl/>
        <w:numPr>
          <w:ilvl w:val="0"/>
          <w:numId w:val="15"/>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本所性</w:t>
      </w:r>
      <w:r w:rsidRPr="0043254E">
        <w:rPr>
          <w:rFonts w:ascii="標楷體" w:eastAsia="標楷體" w:hAnsi="標楷體"/>
          <w:sz w:val="28"/>
          <w:szCs w:val="28"/>
        </w:rPr>
        <w:t>別平等</w:t>
      </w:r>
      <w:r w:rsidRPr="0043254E">
        <w:rPr>
          <w:rFonts w:ascii="標楷體" w:eastAsia="標楷體" w:hAnsi="標楷體" w:hint="eastAsia"/>
          <w:sz w:val="28"/>
          <w:szCs w:val="28"/>
        </w:rPr>
        <w:t>專案</w:t>
      </w:r>
      <w:r w:rsidRPr="0043254E">
        <w:rPr>
          <w:rFonts w:ascii="標楷體" w:eastAsia="標楷體" w:hAnsi="標楷體"/>
          <w:sz w:val="28"/>
          <w:szCs w:val="28"/>
        </w:rPr>
        <w:t>小組</w:t>
      </w:r>
      <w:r w:rsidRPr="0043254E">
        <w:rPr>
          <w:rFonts w:ascii="標楷體" w:eastAsia="標楷體" w:hAnsi="標楷體" w:hint="eastAsia"/>
          <w:sz w:val="28"/>
          <w:szCs w:val="28"/>
        </w:rPr>
        <w:t>，</w:t>
      </w:r>
      <w:r w:rsidRPr="0043254E">
        <w:rPr>
          <w:rFonts w:ascii="標楷體" w:eastAsia="標楷體" w:hAnsi="標楷體"/>
          <w:sz w:val="28"/>
          <w:szCs w:val="28"/>
        </w:rPr>
        <w:t>每年</w:t>
      </w:r>
      <w:r w:rsidRPr="0043254E">
        <w:rPr>
          <w:rFonts w:ascii="標楷體" w:eastAsia="標楷體" w:hAnsi="標楷體" w:hint="eastAsia"/>
          <w:sz w:val="28"/>
          <w:szCs w:val="28"/>
        </w:rPr>
        <w:t>至少</w:t>
      </w:r>
      <w:r w:rsidRPr="0043254E">
        <w:rPr>
          <w:rFonts w:ascii="標楷體" w:eastAsia="標楷體" w:hAnsi="標楷體"/>
          <w:sz w:val="28"/>
          <w:szCs w:val="28"/>
        </w:rPr>
        <w:t>召開</w:t>
      </w:r>
      <w:r w:rsidRPr="0043254E">
        <w:rPr>
          <w:rFonts w:ascii="標楷體" w:eastAsia="標楷體" w:hAnsi="標楷體" w:hint="eastAsia"/>
          <w:sz w:val="28"/>
          <w:szCs w:val="28"/>
        </w:rPr>
        <w:t>1次</w:t>
      </w:r>
      <w:r w:rsidRPr="0043254E">
        <w:rPr>
          <w:rFonts w:ascii="標楷體" w:eastAsia="標楷體" w:hAnsi="標楷體"/>
          <w:sz w:val="28"/>
          <w:szCs w:val="28"/>
        </w:rPr>
        <w:t>定期會議</w:t>
      </w:r>
      <w:r w:rsidRPr="0043254E">
        <w:rPr>
          <w:rFonts w:ascii="標楷體" w:eastAsia="標楷體" w:hAnsi="標楷體" w:hint="eastAsia"/>
          <w:sz w:val="28"/>
          <w:szCs w:val="28"/>
        </w:rPr>
        <w:t>(原則上為上半年，每次開會至少需有過半委員出席與會</w:t>
      </w:r>
      <w:r w:rsidRPr="003719E2">
        <w:rPr>
          <w:rFonts w:ascii="標楷體" w:eastAsia="標楷體" w:hAnsi="標楷體" w:hint="eastAsia"/>
          <w:color w:val="FF0000"/>
          <w:sz w:val="28"/>
          <w:szCs w:val="28"/>
        </w:rPr>
        <w:t>始為有效會議</w:t>
      </w:r>
      <w:r w:rsidRPr="0043254E">
        <w:rPr>
          <w:rFonts w:ascii="標楷體" w:eastAsia="標楷體" w:hAnsi="標楷體" w:hint="eastAsia"/>
          <w:sz w:val="28"/>
          <w:szCs w:val="28"/>
        </w:rPr>
        <w:t>) ，必要時得召開臨時會議</w:t>
      </w:r>
      <w:r w:rsidRPr="0043254E">
        <w:rPr>
          <w:rFonts w:ascii="標楷體" w:eastAsia="標楷體" w:hAnsi="標楷體"/>
          <w:sz w:val="28"/>
          <w:szCs w:val="28"/>
        </w:rPr>
        <w:t xml:space="preserve">。 </w:t>
      </w:r>
    </w:p>
    <w:p w14:paraId="69F1957C" w14:textId="32A06832" w:rsidR="006004F2" w:rsidRPr="006004F2" w:rsidRDefault="006004F2" w:rsidP="006004F2">
      <w:pPr>
        <w:pStyle w:val="4"/>
        <w:widowControl/>
        <w:numPr>
          <w:ilvl w:val="0"/>
          <w:numId w:val="15"/>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成</w:t>
      </w:r>
      <w:r w:rsidRPr="0043254E">
        <w:rPr>
          <w:rFonts w:ascii="標楷體" w:eastAsia="標楷體" w:hAnsi="標楷體"/>
          <w:sz w:val="28"/>
          <w:szCs w:val="28"/>
        </w:rPr>
        <w:t>果</w:t>
      </w:r>
      <w:r w:rsidRPr="0043254E">
        <w:rPr>
          <w:rFonts w:ascii="標楷體" w:eastAsia="標楷體" w:hAnsi="標楷體" w:hint="eastAsia"/>
          <w:sz w:val="28"/>
          <w:szCs w:val="28"/>
        </w:rPr>
        <w:t>評估：於每</w:t>
      </w:r>
      <w:r w:rsidRPr="0043254E">
        <w:rPr>
          <w:rFonts w:ascii="標楷體" w:eastAsia="標楷體" w:hAnsi="標楷體"/>
          <w:sz w:val="28"/>
          <w:szCs w:val="28"/>
        </w:rPr>
        <w:t>年</w:t>
      </w:r>
      <w:r w:rsidRPr="0043254E">
        <w:rPr>
          <w:rFonts w:ascii="標楷體" w:eastAsia="標楷體" w:hAnsi="標楷體" w:hint="eastAsia"/>
          <w:sz w:val="28"/>
          <w:szCs w:val="28"/>
        </w:rPr>
        <w:t>4月底</w:t>
      </w:r>
      <w:r w:rsidRPr="0043254E">
        <w:rPr>
          <w:rFonts w:ascii="標楷體" w:eastAsia="標楷體" w:hAnsi="標楷體"/>
          <w:sz w:val="28"/>
          <w:szCs w:val="28"/>
        </w:rPr>
        <w:t>前</w:t>
      </w:r>
      <w:r w:rsidRPr="0043254E">
        <w:rPr>
          <w:rFonts w:ascii="標楷體" w:eastAsia="標楷體" w:hAnsi="標楷體" w:hint="eastAsia"/>
          <w:sz w:val="28"/>
          <w:szCs w:val="28"/>
        </w:rPr>
        <w:t>須</w:t>
      </w:r>
      <w:r w:rsidRPr="0043254E">
        <w:rPr>
          <w:rFonts w:ascii="標楷體" w:eastAsia="標楷體" w:hAnsi="標楷體"/>
          <w:sz w:val="28"/>
          <w:szCs w:val="28"/>
        </w:rPr>
        <w:t>提報前一年度成果報告</w:t>
      </w:r>
      <w:r w:rsidRPr="0043254E">
        <w:rPr>
          <w:rFonts w:ascii="標楷體" w:eastAsia="標楷體" w:hAnsi="標楷體" w:hint="eastAsia"/>
          <w:sz w:val="28"/>
          <w:szCs w:val="28"/>
        </w:rPr>
        <w:t>(如附表1)</w:t>
      </w:r>
      <w:r>
        <w:rPr>
          <w:rFonts w:ascii="標楷體" w:eastAsia="標楷體" w:hAnsi="標楷體" w:hint="eastAsia"/>
          <w:sz w:val="28"/>
          <w:szCs w:val="28"/>
        </w:rPr>
        <w:t>至專案小組會議，</w:t>
      </w:r>
      <w:r w:rsidRPr="005157C3">
        <w:rPr>
          <w:rFonts w:ascii="標楷體" w:eastAsia="標楷體" w:hAnsi="標楷體" w:hint="eastAsia"/>
          <w:color w:val="FF0000"/>
          <w:sz w:val="28"/>
          <w:szCs w:val="28"/>
        </w:rPr>
        <w:t>並提報性別主流化推動組審議，通過後再提至最近一年性平會備查。</w:t>
      </w:r>
    </w:p>
    <w:p w14:paraId="2C30D348" w14:textId="1DD9C84A" w:rsidR="006004F2" w:rsidRPr="002D17C5" w:rsidRDefault="006004F2" w:rsidP="006004F2">
      <w:pPr>
        <w:pStyle w:val="21"/>
        <w:widowControl/>
        <w:numPr>
          <w:ilvl w:val="0"/>
          <w:numId w:val="5"/>
        </w:numPr>
        <w:spacing w:line="400" w:lineRule="exact"/>
        <w:ind w:leftChars="0" w:left="709" w:hanging="567"/>
        <w:jc w:val="both"/>
        <w:rPr>
          <w:rFonts w:eastAsia="標楷體"/>
          <w:color w:val="FF0000"/>
          <w:sz w:val="28"/>
          <w:szCs w:val="28"/>
        </w:rPr>
      </w:pPr>
      <w:r w:rsidRPr="002D17C5">
        <w:rPr>
          <w:rFonts w:eastAsia="標楷體" w:hint="eastAsia"/>
          <w:color w:val="FF0000"/>
          <w:sz w:val="28"/>
          <w:szCs w:val="28"/>
        </w:rPr>
        <w:t>性別平等業務聯繫會議</w:t>
      </w:r>
      <w:r>
        <w:rPr>
          <w:rFonts w:eastAsia="標楷體" w:hint="eastAsia"/>
          <w:color w:val="FF0000"/>
          <w:sz w:val="28"/>
          <w:szCs w:val="28"/>
        </w:rPr>
        <w:t>：</w:t>
      </w:r>
    </w:p>
    <w:p w14:paraId="68264752" w14:textId="77777777" w:rsidR="006004F2" w:rsidRPr="00434A4B" w:rsidRDefault="006004F2" w:rsidP="006004F2">
      <w:pPr>
        <w:pStyle w:val="3"/>
        <w:widowControl/>
        <w:numPr>
          <w:ilvl w:val="0"/>
          <w:numId w:val="16"/>
        </w:numPr>
        <w:spacing w:line="400" w:lineRule="exact"/>
        <w:ind w:leftChars="0" w:left="851" w:hanging="567"/>
        <w:jc w:val="both"/>
        <w:rPr>
          <w:rFonts w:eastAsia="標楷體"/>
          <w:color w:val="FF0000"/>
          <w:sz w:val="28"/>
          <w:szCs w:val="28"/>
        </w:rPr>
      </w:pPr>
      <w:r w:rsidRPr="00434A4B">
        <w:rPr>
          <w:rFonts w:eastAsia="標楷體"/>
          <w:color w:val="FF0000"/>
          <w:sz w:val="28"/>
          <w:szCs w:val="28"/>
        </w:rPr>
        <w:lastRenderedPageBreak/>
        <w:t>召集單位：由</w:t>
      </w:r>
      <w:r w:rsidRPr="00434A4B">
        <w:rPr>
          <w:rFonts w:eastAsia="標楷體" w:hint="eastAsia"/>
          <w:color w:val="FF0000"/>
          <w:sz w:val="28"/>
          <w:szCs w:val="28"/>
        </w:rPr>
        <w:t>秘書單位</w:t>
      </w:r>
      <w:r w:rsidRPr="00434A4B">
        <w:rPr>
          <w:rFonts w:eastAsia="標楷體" w:hint="eastAsia"/>
          <w:color w:val="FF0000"/>
          <w:sz w:val="28"/>
          <w:szCs w:val="28"/>
        </w:rPr>
        <w:t>(</w:t>
      </w:r>
      <w:r>
        <w:rPr>
          <w:rFonts w:eastAsia="標楷體" w:hint="eastAsia"/>
          <w:color w:val="FF0000"/>
          <w:sz w:val="28"/>
          <w:szCs w:val="28"/>
        </w:rPr>
        <w:t>各</w:t>
      </w:r>
      <w:r w:rsidRPr="00434A4B">
        <w:rPr>
          <w:rFonts w:eastAsia="標楷體" w:hint="eastAsia"/>
          <w:color w:val="FF0000"/>
          <w:sz w:val="28"/>
          <w:szCs w:val="28"/>
        </w:rPr>
        <w:t>區公所</w:t>
      </w:r>
      <w:r w:rsidRPr="00434A4B">
        <w:rPr>
          <w:rFonts w:eastAsia="標楷體" w:hint="eastAsia"/>
          <w:color w:val="FF0000"/>
          <w:sz w:val="28"/>
          <w:szCs w:val="28"/>
        </w:rPr>
        <w:t>)</w:t>
      </w:r>
      <w:r w:rsidRPr="00434A4B">
        <w:rPr>
          <w:rFonts w:eastAsia="標楷體" w:hint="eastAsia"/>
          <w:color w:val="FF0000"/>
          <w:sz w:val="28"/>
          <w:szCs w:val="28"/>
        </w:rPr>
        <w:t>輪流</w:t>
      </w:r>
      <w:r w:rsidRPr="00434A4B">
        <w:rPr>
          <w:rFonts w:eastAsia="標楷體"/>
          <w:color w:val="FF0000"/>
          <w:sz w:val="28"/>
          <w:szCs w:val="28"/>
        </w:rPr>
        <w:t>協調召開會議</w:t>
      </w:r>
      <w:r>
        <w:rPr>
          <w:rFonts w:eastAsia="標楷體" w:hint="eastAsia"/>
          <w:color w:val="FF0000"/>
          <w:sz w:val="28"/>
          <w:szCs w:val="28"/>
        </w:rPr>
        <w:t>，並由該次秘書單位之區長或副區長擔任召集人</w:t>
      </w:r>
      <w:r w:rsidRPr="00434A4B">
        <w:rPr>
          <w:rFonts w:eastAsia="標楷體"/>
          <w:color w:val="FF0000"/>
          <w:sz w:val="28"/>
          <w:szCs w:val="28"/>
        </w:rPr>
        <w:t>。</w:t>
      </w:r>
    </w:p>
    <w:p w14:paraId="1F8B10A6" w14:textId="77777777" w:rsidR="006004F2" w:rsidRPr="00DA247C" w:rsidRDefault="006004F2" w:rsidP="006004F2">
      <w:pPr>
        <w:pStyle w:val="3"/>
        <w:widowControl/>
        <w:numPr>
          <w:ilvl w:val="0"/>
          <w:numId w:val="16"/>
        </w:numPr>
        <w:spacing w:line="400" w:lineRule="exact"/>
        <w:ind w:leftChars="0" w:left="851" w:hanging="567"/>
        <w:jc w:val="both"/>
        <w:rPr>
          <w:rFonts w:eastAsia="標楷體"/>
          <w:color w:val="FF0000"/>
          <w:sz w:val="28"/>
          <w:szCs w:val="28"/>
        </w:rPr>
      </w:pPr>
      <w:r w:rsidRPr="00434A4B">
        <w:rPr>
          <w:rFonts w:eastAsia="標楷體" w:hint="eastAsia"/>
          <w:color w:val="FF0000"/>
          <w:sz w:val="28"/>
          <w:szCs w:val="28"/>
        </w:rPr>
        <w:t>成員：</w:t>
      </w:r>
    </w:p>
    <w:p w14:paraId="350A6D72" w14:textId="77777777" w:rsidR="006004F2" w:rsidRPr="00DA247C" w:rsidRDefault="006004F2" w:rsidP="006004F2">
      <w:pPr>
        <w:pStyle w:val="3"/>
        <w:widowControl/>
        <w:numPr>
          <w:ilvl w:val="1"/>
          <w:numId w:val="5"/>
        </w:numPr>
        <w:spacing w:line="400" w:lineRule="exact"/>
        <w:ind w:leftChars="0" w:left="851" w:hanging="284"/>
        <w:jc w:val="both"/>
        <w:rPr>
          <w:rFonts w:eastAsia="標楷體"/>
          <w:color w:val="FF0000"/>
          <w:sz w:val="28"/>
          <w:szCs w:val="28"/>
        </w:rPr>
      </w:pPr>
      <w:r w:rsidRPr="00DA247C">
        <w:rPr>
          <w:rFonts w:eastAsia="標楷體" w:hint="eastAsia"/>
          <w:color w:val="FF0000"/>
          <w:sz w:val="28"/>
          <w:szCs w:val="28"/>
        </w:rPr>
        <w:t>諮詢委員：</w:t>
      </w:r>
      <w:r w:rsidRPr="00DA247C">
        <w:rPr>
          <w:rFonts w:eastAsia="標楷體"/>
          <w:color w:val="FF0000"/>
          <w:sz w:val="28"/>
          <w:szCs w:val="28"/>
        </w:rPr>
        <w:t>外聘民間委員</w:t>
      </w:r>
      <w:r w:rsidRPr="00DA247C">
        <w:rPr>
          <w:rFonts w:eastAsia="標楷體"/>
          <w:color w:val="FF0000"/>
          <w:sz w:val="28"/>
          <w:szCs w:val="28"/>
        </w:rPr>
        <w:t>2</w:t>
      </w:r>
      <w:r w:rsidRPr="00DA247C">
        <w:rPr>
          <w:rFonts w:eastAsia="標楷體"/>
          <w:color w:val="FF0000"/>
          <w:sz w:val="28"/>
          <w:szCs w:val="28"/>
        </w:rPr>
        <w:t>位以上</w:t>
      </w:r>
      <w:r w:rsidRPr="00DA247C">
        <w:rPr>
          <w:rFonts w:eastAsia="標楷體" w:hint="eastAsia"/>
          <w:color w:val="FF0000"/>
          <w:sz w:val="28"/>
          <w:szCs w:val="28"/>
        </w:rPr>
        <w:t>，</w:t>
      </w:r>
      <w:r w:rsidRPr="00DA247C">
        <w:rPr>
          <w:rFonts w:eastAsia="標楷體"/>
          <w:color w:val="FF0000"/>
          <w:sz w:val="28"/>
          <w:szCs w:val="28"/>
        </w:rPr>
        <w:t>其中</w:t>
      </w:r>
      <w:r w:rsidRPr="00DA247C">
        <w:rPr>
          <w:rFonts w:eastAsia="標楷體"/>
          <w:color w:val="FF0000"/>
          <w:sz w:val="28"/>
          <w:szCs w:val="28"/>
        </w:rPr>
        <w:t>1</w:t>
      </w:r>
      <w:r w:rsidRPr="00DA247C">
        <w:rPr>
          <w:rFonts w:eastAsia="標楷體"/>
          <w:color w:val="FF0000"/>
          <w:sz w:val="28"/>
          <w:szCs w:val="28"/>
        </w:rPr>
        <w:t>位至少為現任或曾任性平會外聘委員。</w:t>
      </w:r>
    </w:p>
    <w:p w14:paraId="6C1590A5" w14:textId="77777777" w:rsidR="006004F2" w:rsidRDefault="006004F2" w:rsidP="006004F2">
      <w:pPr>
        <w:pStyle w:val="3"/>
        <w:widowControl/>
        <w:numPr>
          <w:ilvl w:val="1"/>
          <w:numId w:val="5"/>
        </w:numPr>
        <w:spacing w:line="400" w:lineRule="exact"/>
        <w:ind w:leftChars="0" w:left="851" w:hanging="284"/>
        <w:jc w:val="both"/>
        <w:rPr>
          <w:rFonts w:eastAsia="標楷體"/>
          <w:color w:val="FF0000"/>
          <w:sz w:val="28"/>
          <w:szCs w:val="28"/>
        </w:rPr>
      </w:pPr>
      <w:r>
        <w:rPr>
          <w:rFonts w:eastAsia="標楷體" w:hint="eastAsia"/>
          <w:color w:val="FF0000"/>
          <w:sz w:val="28"/>
          <w:szCs w:val="28"/>
        </w:rPr>
        <w:t>參與成員：</w:t>
      </w:r>
      <w:r w:rsidRPr="00434A4B">
        <w:rPr>
          <w:rFonts w:eastAsia="標楷體" w:hint="eastAsia"/>
          <w:color w:val="FF0000"/>
          <w:sz w:val="28"/>
          <w:szCs w:val="28"/>
        </w:rPr>
        <w:t>各區公所</w:t>
      </w:r>
      <w:r>
        <w:rPr>
          <w:rFonts w:eastAsia="標楷體" w:hint="eastAsia"/>
          <w:color w:val="FF0000"/>
          <w:sz w:val="28"/>
          <w:szCs w:val="28"/>
        </w:rPr>
        <w:t>。</w:t>
      </w:r>
    </w:p>
    <w:p w14:paraId="125AE8CE" w14:textId="77777777" w:rsidR="006004F2" w:rsidRPr="006A3049" w:rsidRDefault="006004F2" w:rsidP="006004F2">
      <w:pPr>
        <w:pStyle w:val="3"/>
        <w:widowControl/>
        <w:numPr>
          <w:ilvl w:val="1"/>
          <w:numId w:val="5"/>
        </w:numPr>
        <w:spacing w:line="400" w:lineRule="exact"/>
        <w:ind w:leftChars="0" w:left="851" w:hanging="284"/>
        <w:jc w:val="both"/>
        <w:rPr>
          <w:rFonts w:eastAsia="標楷體"/>
          <w:color w:val="FF0000"/>
          <w:sz w:val="28"/>
          <w:szCs w:val="28"/>
        </w:rPr>
      </w:pPr>
      <w:r w:rsidRPr="006A3049">
        <w:rPr>
          <w:rFonts w:eastAsia="標楷體" w:hint="eastAsia"/>
          <w:color w:val="FF0000"/>
          <w:sz w:val="28"/>
          <w:szCs w:val="28"/>
        </w:rPr>
        <w:t>列席人員：本府性別平等辦公室工作督導小組、性別平等辦公室。</w:t>
      </w:r>
    </w:p>
    <w:p w14:paraId="44A1D8D0" w14:textId="77777777" w:rsidR="006004F2" w:rsidRPr="00434A4B" w:rsidRDefault="006004F2" w:rsidP="006004F2">
      <w:pPr>
        <w:pStyle w:val="3"/>
        <w:widowControl/>
        <w:numPr>
          <w:ilvl w:val="0"/>
          <w:numId w:val="16"/>
        </w:numPr>
        <w:spacing w:line="400" w:lineRule="exact"/>
        <w:ind w:leftChars="0" w:left="851" w:hanging="567"/>
        <w:jc w:val="both"/>
        <w:rPr>
          <w:rFonts w:eastAsia="標楷體"/>
          <w:color w:val="FF0000"/>
          <w:sz w:val="28"/>
          <w:szCs w:val="28"/>
        </w:rPr>
      </w:pPr>
      <w:r w:rsidRPr="00434A4B">
        <w:rPr>
          <w:rFonts w:eastAsia="標楷體" w:hint="eastAsia"/>
          <w:color w:val="FF0000"/>
          <w:sz w:val="28"/>
          <w:szCs w:val="28"/>
        </w:rPr>
        <w:t>運作方式：本府</w:t>
      </w:r>
      <w:r w:rsidRPr="00434A4B">
        <w:rPr>
          <w:rFonts w:eastAsia="標楷體" w:hint="eastAsia"/>
          <w:color w:val="FF0000"/>
          <w:sz w:val="28"/>
          <w:szCs w:val="28"/>
        </w:rPr>
        <w:t>13</w:t>
      </w:r>
      <w:r w:rsidRPr="00434A4B">
        <w:rPr>
          <w:rFonts w:eastAsia="標楷體" w:hint="eastAsia"/>
          <w:color w:val="FF0000"/>
          <w:sz w:val="28"/>
          <w:szCs w:val="28"/>
        </w:rPr>
        <w:t>個區公所分為</w:t>
      </w:r>
      <w:r w:rsidRPr="00434A4B">
        <w:rPr>
          <w:rFonts w:eastAsia="標楷體" w:hint="eastAsia"/>
          <w:color w:val="FF0000"/>
          <w:sz w:val="28"/>
          <w:szCs w:val="28"/>
        </w:rPr>
        <w:t>2</w:t>
      </w:r>
      <w:r w:rsidRPr="00434A4B">
        <w:rPr>
          <w:rFonts w:eastAsia="標楷體" w:hint="eastAsia"/>
          <w:color w:val="FF0000"/>
          <w:sz w:val="28"/>
          <w:szCs w:val="28"/>
        </w:rPr>
        <w:t>組，</w:t>
      </w:r>
      <w:r>
        <w:rPr>
          <w:rFonts w:eastAsia="標楷體" w:hint="eastAsia"/>
          <w:color w:val="FF0000"/>
          <w:sz w:val="28"/>
          <w:szCs w:val="28"/>
        </w:rPr>
        <w:t>個別</w:t>
      </w:r>
      <w:r w:rsidRPr="00434A4B">
        <w:rPr>
          <w:rFonts w:eastAsia="標楷體" w:hint="eastAsia"/>
          <w:color w:val="FF0000"/>
          <w:sz w:val="28"/>
          <w:szCs w:val="28"/>
        </w:rPr>
        <w:t>召開會議</w:t>
      </w:r>
      <w:r>
        <w:rPr>
          <w:rFonts w:eastAsia="標楷體" w:hint="eastAsia"/>
          <w:color w:val="FF0000"/>
          <w:sz w:val="28"/>
          <w:szCs w:val="28"/>
        </w:rPr>
        <w:t>：</w:t>
      </w:r>
    </w:p>
    <w:p w14:paraId="10078353" w14:textId="77777777" w:rsidR="006004F2" w:rsidRPr="00434A4B" w:rsidRDefault="006004F2" w:rsidP="006004F2">
      <w:pPr>
        <w:pStyle w:val="3"/>
        <w:widowControl/>
        <w:spacing w:line="400" w:lineRule="exact"/>
        <w:ind w:leftChars="0" w:left="851"/>
        <w:jc w:val="both"/>
        <w:rPr>
          <w:rFonts w:eastAsia="標楷體"/>
          <w:color w:val="FF0000"/>
          <w:sz w:val="28"/>
          <w:szCs w:val="28"/>
        </w:rPr>
      </w:pPr>
      <w:r>
        <w:rPr>
          <w:rFonts w:eastAsia="標楷體" w:hint="eastAsia"/>
          <w:color w:val="FF0000"/>
          <w:sz w:val="28"/>
          <w:szCs w:val="28"/>
        </w:rPr>
        <w:t>第</w:t>
      </w:r>
      <w:r>
        <w:rPr>
          <w:rFonts w:eastAsia="標楷體" w:hint="eastAsia"/>
          <w:color w:val="FF0000"/>
          <w:sz w:val="28"/>
          <w:szCs w:val="28"/>
        </w:rPr>
        <w:t>1</w:t>
      </w:r>
      <w:r>
        <w:rPr>
          <w:rFonts w:eastAsia="標楷體" w:hint="eastAsia"/>
          <w:color w:val="FF0000"/>
          <w:sz w:val="28"/>
          <w:szCs w:val="28"/>
        </w:rPr>
        <w:t>組：</w:t>
      </w:r>
      <w:r>
        <w:fldChar w:fldCharType="begin"/>
      </w:r>
      <w:r>
        <w:instrText xml:space="preserve"> HYPERLINK "https://zh.m.wikipedia.org/wiki/%E6%A1%83%E5%9C%92%E5%8D%80" \o "</w:instrText>
      </w:r>
      <w:r>
        <w:instrText>桃園區</w:instrText>
      </w:r>
      <w:r>
        <w:instrText xml:space="preserve">" </w:instrText>
      </w:r>
      <w:r>
        <w:fldChar w:fldCharType="separate"/>
      </w:r>
      <w:r w:rsidRPr="00434A4B">
        <w:rPr>
          <w:rFonts w:eastAsia="標楷體"/>
          <w:color w:val="FF0000"/>
          <w:sz w:val="28"/>
          <w:szCs w:val="28"/>
        </w:rPr>
        <w:t>桃園區</w:t>
      </w:r>
      <w:r>
        <w:rPr>
          <w:rFonts w:eastAsia="標楷體"/>
          <w:color w:val="FF0000"/>
          <w:sz w:val="28"/>
          <w:szCs w:val="28"/>
        </w:rPr>
        <w:fldChar w:fldCharType="end"/>
      </w:r>
      <w:r w:rsidRPr="00434A4B">
        <w:rPr>
          <w:rFonts w:eastAsia="標楷體"/>
          <w:color w:val="FF0000"/>
          <w:sz w:val="28"/>
          <w:szCs w:val="28"/>
        </w:rPr>
        <w:t>、</w:t>
      </w:r>
      <w:hyperlink r:id="rId8" w:tooltip="龜山區" w:history="1">
        <w:r w:rsidRPr="00434A4B">
          <w:rPr>
            <w:rFonts w:eastAsia="標楷體"/>
            <w:color w:val="FF0000"/>
            <w:sz w:val="28"/>
            <w:szCs w:val="28"/>
          </w:rPr>
          <w:t>龜山區</w:t>
        </w:r>
      </w:hyperlink>
      <w:r w:rsidRPr="00434A4B">
        <w:rPr>
          <w:rFonts w:eastAsia="標楷體"/>
          <w:color w:val="FF0000"/>
          <w:sz w:val="28"/>
          <w:szCs w:val="28"/>
        </w:rPr>
        <w:t>、</w:t>
      </w:r>
      <w:hyperlink r:id="rId9" w:tooltip="八德區" w:history="1">
        <w:r w:rsidRPr="00434A4B">
          <w:rPr>
            <w:rFonts w:eastAsia="標楷體"/>
            <w:color w:val="FF0000"/>
            <w:sz w:val="28"/>
            <w:szCs w:val="28"/>
          </w:rPr>
          <w:t>八德區</w:t>
        </w:r>
      </w:hyperlink>
      <w:r w:rsidRPr="00434A4B">
        <w:rPr>
          <w:rFonts w:eastAsia="標楷體"/>
          <w:color w:val="FF0000"/>
          <w:sz w:val="28"/>
          <w:szCs w:val="28"/>
        </w:rPr>
        <w:t>、</w:t>
      </w:r>
      <w:hyperlink r:id="rId10" w:tooltip="大溪區" w:history="1">
        <w:r w:rsidRPr="00434A4B">
          <w:rPr>
            <w:rFonts w:eastAsia="標楷體"/>
            <w:color w:val="FF0000"/>
            <w:sz w:val="28"/>
            <w:szCs w:val="28"/>
          </w:rPr>
          <w:t>大溪區</w:t>
        </w:r>
      </w:hyperlink>
      <w:r w:rsidRPr="00434A4B">
        <w:rPr>
          <w:rFonts w:eastAsia="標楷體"/>
          <w:color w:val="FF0000"/>
          <w:sz w:val="28"/>
          <w:szCs w:val="28"/>
        </w:rPr>
        <w:t>、</w:t>
      </w:r>
      <w:hyperlink r:id="rId11" w:tooltip="蘆竹區" w:history="1">
        <w:r w:rsidRPr="00434A4B">
          <w:rPr>
            <w:rFonts w:eastAsia="標楷體"/>
            <w:color w:val="FF0000"/>
            <w:sz w:val="28"/>
            <w:szCs w:val="28"/>
          </w:rPr>
          <w:t>蘆竹區</w:t>
        </w:r>
      </w:hyperlink>
      <w:r w:rsidRPr="00434A4B">
        <w:rPr>
          <w:rFonts w:eastAsia="標楷體"/>
          <w:color w:val="FF0000"/>
          <w:sz w:val="28"/>
          <w:szCs w:val="28"/>
        </w:rPr>
        <w:t>、</w:t>
      </w:r>
      <w:hyperlink r:id="rId12" w:tooltip="大園區" w:history="1">
        <w:r w:rsidRPr="00434A4B">
          <w:rPr>
            <w:rFonts w:eastAsia="標楷體"/>
            <w:color w:val="FF0000"/>
            <w:sz w:val="28"/>
            <w:szCs w:val="28"/>
          </w:rPr>
          <w:t>大園區</w:t>
        </w:r>
      </w:hyperlink>
      <w:r w:rsidRPr="00434A4B">
        <w:rPr>
          <w:rFonts w:eastAsia="標楷體"/>
          <w:color w:val="FF0000"/>
          <w:sz w:val="28"/>
          <w:szCs w:val="28"/>
        </w:rPr>
        <w:t>，</w:t>
      </w:r>
      <w:r w:rsidRPr="00434A4B">
        <w:rPr>
          <w:rFonts w:eastAsia="標楷體" w:hint="eastAsia"/>
          <w:color w:val="FF0000"/>
          <w:sz w:val="28"/>
          <w:szCs w:val="28"/>
        </w:rPr>
        <w:t>復興區</w:t>
      </w:r>
      <w:r>
        <w:rPr>
          <w:rFonts w:eastAsia="標楷體" w:hint="eastAsia"/>
          <w:color w:val="FF0000"/>
          <w:sz w:val="28"/>
          <w:szCs w:val="28"/>
        </w:rPr>
        <w:t>。</w:t>
      </w:r>
    </w:p>
    <w:p w14:paraId="0B45BFE0" w14:textId="77777777" w:rsidR="006004F2" w:rsidRPr="00434A4B" w:rsidRDefault="006004F2" w:rsidP="006004F2">
      <w:pPr>
        <w:pStyle w:val="3"/>
        <w:widowControl/>
        <w:spacing w:line="400" w:lineRule="exact"/>
        <w:ind w:leftChars="0" w:left="851"/>
        <w:jc w:val="both"/>
        <w:rPr>
          <w:rFonts w:eastAsia="標楷體"/>
          <w:color w:val="FF0000"/>
          <w:sz w:val="28"/>
          <w:szCs w:val="28"/>
        </w:rPr>
      </w:pPr>
      <w:r>
        <w:rPr>
          <w:rFonts w:eastAsia="標楷體" w:hint="eastAsia"/>
          <w:color w:val="FF0000"/>
          <w:sz w:val="28"/>
          <w:szCs w:val="28"/>
        </w:rPr>
        <w:t>第</w:t>
      </w:r>
      <w:r>
        <w:rPr>
          <w:rFonts w:eastAsia="標楷體" w:hint="eastAsia"/>
          <w:color w:val="FF0000"/>
          <w:sz w:val="28"/>
          <w:szCs w:val="28"/>
        </w:rPr>
        <w:t>2</w:t>
      </w:r>
      <w:r>
        <w:rPr>
          <w:rFonts w:eastAsia="標楷體" w:hint="eastAsia"/>
          <w:color w:val="FF0000"/>
          <w:sz w:val="28"/>
          <w:szCs w:val="28"/>
        </w:rPr>
        <w:t>組：</w:t>
      </w:r>
      <w:r>
        <w:fldChar w:fldCharType="begin"/>
      </w:r>
      <w:r>
        <w:instrText xml:space="preserve"> HYPERLINK "https://zh.m.wikipedia.org/wiki/%E4%B8%AD%E5%A3%A2%E5%8D%80" \o "</w:instrText>
      </w:r>
      <w:r>
        <w:instrText>中壢區</w:instrText>
      </w:r>
      <w:r>
        <w:instrText xml:space="preserve">" </w:instrText>
      </w:r>
      <w:r>
        <w:fldChar w:fldCharType="separate"/>
      </w:r>
      <w:r w:rsidRPr="00434A4B">
        <w:rPr>
          <w:rFonts w:eastAsia="標楷體"/>
          <w:color w:val="FF0000"/>
          <w:sz w:val="28"/>
          <w:szCs w:val="28"/>
        </w:rPr>
        <w:t>中壢區</w:t>
      </w:r>
      <w:r>
        <w:rPr>
          <w:rFonts w:eastAsia="標楷體"/>
          <w:color w:val="FF0000"/>
          <w:sz w:val="28"/>
          <w:szCs w:val="28"/>
        </w:rPr>
        <w:fldChar w:fldCharType="end"/>
      </w:r>
      <w:r w:rsidRPr="00434A4B">
        <w:rPr>
          <w:rFonts w:eastAsia="標楷體"/>
          <w:color w:val="FF0000"/>
          <w:sz w:val="28"/>
          <w:szCs w:val="28"/>
        </w:rPr>
        <w:t>、</w:t>
      </w:r>
      <w:hyperlink r:id="rId13" w:tooltip="楊梅區" w:history="1">
        <w:r w:rsidRPr="00434A4B">
          <w:rPr>
            <w:rFonts w:eastAsia="標楷體"/>
            <w:color w:val="FF0000"/>
            <w:sz w:val="28"/>
            <w:szCs w:val="28"/>
          </w:rPr>
          <w:t>楊梅區</w:t>
        </w:r>
      </w:hyperlink>
      <w:r w:rsidRPr="00434A4B">
        <w:rPr>
          <w:rFonts w:eastAsia="標楷體"/>
          <w:color w:val="FF0000"/>
          <w:sz w:val="28"/>
          <w:szCs w:val="28"/>
        </w:rPr>
        <w:t>、</w:t>
      </w:r>
      <w:hyperlink r:id="rId14" w:tooltip="平鎮區" w:history="1">
        <w:r w:rsidRPr="00434A4B">
          <w:rPr>
            <w:rFonts w:eastAsia="標楷體"/>
            <w:color w:val="FF0000"/>
            <w:sz w:val="28"/>
            <w:szCs w:val="28"/>
          </w:rPr>
          <w:t>平鎮區</w:t>
        </w:r>
      </w:hyperlink>
      <w:r w:rsidRPr="00434A4B">
        <w:rPr>
          <w:rFonts w:eastAsia="標楷體"/>
          <w:color w:val="FF0000"/>
          <w:sz w:val="28"/>
          <w:szCs w:val="28"/>
        </w:rPr>
        <w:t>、</w:t>
      </w:r>
      <w:hyperlink r:id="rId15" w:tooltip="龍潭區 (台灣)" w:history="1">
        <w:r w:rsidRPr="00434A4B">
          <w:rPr>
            <w:rFonts w:eastAsia="標楷體"/>
            <w:color w:val="FF0000"/>
            <w:sz w:val="28"/>
            <w:szCs w:val="28"/>
          </w:rPr>
          <w:t>龍潭區</w:t>
        </w:r>
      </w:hyperlink>
      <w:r w:rsidRPr="00434A4B">
        <w:rPr>
          <w:rFonts w:eastAsia="標楷體"/>
          <w:color w:val="FF0000"/>
          <w:sz w:val="28"/>
          <w:szCs w:val="28"/>
        </w:rPr>
        <w:t>、</w:t>
      </w:r>
      <w:hyperlink r:id="rId16" w:tooltip="觀音區" w:history="1">
        <w:r w:rsidRPr="00434A4B">
          <w:rPr>
            <w:rFonts w:eastAsia="標楷體"/>
            <w:color w:val="FF0000"/>
            <w:sz w:val="28"/>
            <w:szCs w:val="28"/>
          </w:rPr>
          <w:t>觀音區</w:t>
        </w:r>
      </w:hyperlink>
      <w:r w:rsidRPr="00434A4B">
        <w:rPr>
          <w:rFonts w:eastAsia="標楷體"/>
          <w:color w:val="FF0000"/>
          <w:sz w:val="28"/>
          <w:szCs w:val="28"/>
        </w:rPr>
        <w:t>、</w:t>
      </w:r>
      <w:hyperlink r:id="rId17" w:tooltip="新屋區" w:history="1">
        <w:r w:rsidRPr="00434A4B">
          <w:rPr>
            <w:rFonts w:eastAsia="標楷體"/>
            <w:color w:val="FF0000"/>
            <w:sz w:val="28"/>
            <w:szCs w:val="28"/>
          </w:rPr>
          <w:t>新屋區</w:t>
        </w:r>
      </w:hyperlink>
      <w:r>
        <w:rPr>
          <w:rFonts w:eastAsia="標楷體" w:hint="eastAsia"/>
          <w:color w:val="FF0000"/>
          <w:sz w:val="28"/>
          <w:szCs w:val="28"/>
        </w:rPr>
        <w:t>。</w:t>
      </w:r>
    </w:p>
    <w:p w14:paraId="0DDEBB1C" w14:textId="77777777" w:rsidR="006004F2" w:rsidRPr="00434A4B" w:rsidRDefault="006004F2" w:rsidP="006004F2">
      <w:pPr>
        <w:pStyle w:val="3"/>
        <w:widowControl/>
        <w:numPr>
          <w:ilvl w:val="0"/>
          <w:numId w:val="16"/>
        </w:numPr>
        <w:spacing w:line="400" w:lineRule="exact"/>
        <w:ind w:leftChars="0" w:left="851" w:hanging="567"/>
        <w:jc w:val="both"/>
        <w:rPr>
          <w:rFonts w:eastAsia="標楷體"/>
          <w:color w:val="FF0000"/>
          <w:sz w:val="28"/>
          <w:szCs w:val="28"/>
        </w:rPr>
      </w:pPr>
      <w:r>
        <w:rPr>
          <w:rFonts w:eastAsia="標楷體" w:hint="eastAsia"/>
          <w:color w:val="FF0000"/>
          <w:sz w:val="28"/>
          <w:szCs w:val="28"/>
        </w:rPr>
        <w:t>召開頻率：</w:t>
      </w:r>
      <w:r w:rsidRPr="00434A4B">
        <w:rPr>
          <w:rFonts w:eastAsia="標楷體"/>
          <w:color w:val="FF0000"/>
          <w:sz w:val="28"/>
          <w:szCs w:val="28"/>
        </w:rPr>
        <w:t>每年</w:t>
      </w:r>
      <w:r w:rsidRPr="00434A4B">
        <w:rPr>
          <w:rFonts w:eastAsia="標楷體" w:hint="eastAsia"/>
          <w:color w:val="FF0000"/>
          <w:sz w:val="28"/>
          <w:szCs w:val="28"/>
        </w:rPr>
        <w:t>召開</w:t>
      </w:r>
      <w:r w:rsidRPr="00434A4B">
        <w:rPr>
          <w:rFonts w:eastAsia="標楷體" w:hint="eastAsia"/>
          <w:color w:val="FF0000"/>
          <w:sz w:val="28"/>
          <w:szCs w:val="28"/>
        </w:rPr>
        <w:t>1</w:t>
      </w:r>
      <w:r w:rsidRPr="00434A4B">
        <w:rPr>
          <w:rFonts w:eastAsia="標楷體" w:hint="eastAsia"/>
          <w:color w:val="FF0000"/>
          <w:sz w:val="28"/>
          <w:szCs w:val="28"/>
        </w:rPr>
        <w:t>次會議，</w:t>
      </w:r>
      <w:r w:rsidRPr="00434A4B">
        <w:rPr>
          <w:rFonts w:eastAsia="標楷體"/>
          <w:color w:val="FF0000"/>
          <w:sz w:val="28"/>
          <w:szCs w:val="28"/>
        </w:rPr>
        <w:t>原則上</w:t>
      </w:r>
      <w:r w:rsidRPr="00434A4B">
        <w:rPr>
          <w:rFonts w:eastAsia="標楷體" w:hint="eastAsia"/>
          <w:color w:val="FF0000"/>
          <w:sz w:val="28"/>
          <w:szCs w:val="28"/>
        </w:rPr>
        <w:t>於每年</w:t>
      </w:r>
      <w:r w:rsidRPr="00434A4B">
        <w:rPr>
          <w:rFonts w:eastAsia="標楷體" w:hint="eastAsia"/>
          <w:color w:val="FF0000"/>
          <w:sz w:val="28"/>
          <w:szCs w:val="28"/>
        </w:rPr>
        <w:t>10</w:t>
      </w:r>
      <w:r w:rsidRPr="00434A4B">
        <w:rPr>
          <w:rFonts w:eastAsia="標楷體" w:hint="eastAsia"/>
          <w:color w:val="FF0000"/>
          <w:sz w:val="28"/>
          <w:szCs w:val="28"/>
        </w:rPr>
        <w:t>月底前召開完竣，</w:t>
      </w:r>
      <w:r w:rsidRPr="00434A4B">
        <w:rPr>
          <w:rFonts w:eastAsia="標楷體"/>
          <w:color w:val="FF0000"/>
          <w:sz w:val="28"/>
          <w:szCs w:val="28"/>
        </w:rPr>
        <w:t>並提報性別主流化推動組備查</w:t>
      </w:r>
      <w:r w:rsidRPr="00434A4B">
        <w:rPr>
          <w:rFonts w:eastAsia="標楷體" w:hint="eastAsia"/>
          <w:color w:val="FF0000"/>
          <w:sz w:val="28"/>
          <w:szCs w:val="28"/>
        </w:rPr>
        <w:t>。</w:t>
      </w:r>
    </w:p>
    <w:p w14:paraId="34BCE6A2" w14:textId="77777777" w:rsidR="006004F2" w:rsidRPr="007A2EA0" w:rsidRDefault="006004F2" w:rsidP="006004F2">
      <w:pPr>
        <w:pStyle w:val="3"/>
        <w:widowControl/>
        <w:numPr>
          <w:ilvl w:val="0"/>
          <w:numId w:val="16"/>
        </w:numPr>
        <w:spacing w:line="400" w:lineRule="exact"/>
        <w:ind w:leftChars="0" w:left="851" w:hanging="567"/>
        <w:jc w:val="both"/>
        <w:rPr>
          <w:rFonts w:eastAsia="標楷體"/>
          <w:color w:val="FF0000"/>
          <w:sz w:val="28"/>
          <w:szCs w:val="28"/>
        </w:rPr>
      </w:pPr>
      <w:r>
        <w:rPr>
          <w:rFonts w:eastAsia="標楷體" w:hint="eastAsia"/>
          <w:color w:val="FF0000"/>
          <w:sz w:val="28"/>
          <w:szCs w:val="28"/>
        </w:rPr>
        <w:t>任務</w:t>
      </w:r>
      <w:r w:rsidRPr="00DA247C">
        <w:rPr>
          <w:rFonts w:eastAsia="標楷體" w:hint="eastAsia"/>
          <w:color w:val="FF0000"/>
          <w:sz w:val="28"/>
          <w:szCs w:val="28"/>
        </w:rPr>
        <w:t>：</w:t>
      </w:r>
    </w:p>
    <w:p w14:paraId="05CD1CA3" w14:textId="28D054C9" w:rsidR="006004F2" w:rsidRDefault="006004F2" w:rsidP="006004F2">
      <w:pPr>
        <w:pStyle w:val="3"/>
        <w:widowControl/>
        <w:numPr>
          <w:ilvl w:val="0"/>
          <w:numId w:val="17"/>
        </w:numPr>
        <w:spacing w:line="400" w:lineRule="exact"/>
        <w:ind w:leftChars="0"/>
        <w:jc w:val="both"/>
        <w:rPr>
          <w:rFonts w:eastAsia="標楷體"/>
          <w:color w:val="FF0000"/>
          <w:sz w:val="28"/>
          <w:szCs w:val="28"/>
        </w:rPr>
      </w:pPr>
      <w:r w:rsidRPr="007A2EA0">
        <w:rPr>
          <w:rFonts w:eastAsia="標楷體"/>
          <w:color w:val="FF0000"/>
          <w:sz w:val="28"/>
          <w:szCs w:val="28"/>
        </w:rPr>
        <w:t>配合本府各項性別主流化計畫之推動</w:t>
      </w:r>
      <w:r w:rsidRPr="007A2EA0">
        <w:rPr>
          <w:rFonts w:eastAsia="標楷體" w:hint="eastAsia"/>
          <w:color w:val="FF0000"/>
          <w:sz w:val="28"/>
          <w:szCs w:val="28"/>
        </w:rPr>
        <w:t>，運用各項工具，於業務中融入性別觀點。</w:t>
      </w:r>
    </w:p>
    <w:p w14:paraId="3AA35F6C" w14:textId="77777777" w:rsidR="006004F2" w:rsidRDefault="006004F2" w:rsidP="006004F2">
      <w:pPr>
        <w:pStyle w:val="3"/>
        <w:widowControl/>
        <w:numPr>
          <w:ilvl w:val="0"/>
          <w:numId w:val="17"/>
        </w:numPr>
        <w:spacing w:line="400" w:lineRule="exact"/>
        <w:ind w:leftChars="0"/>
        <w:jc w:val="both"/>
        <w:rPr>
          <w:rFonts w:eastAsia="標楷體"/>
          <w:color w:val="FF0000"/>
          <w:sz w:val="28"/>
          <w:szCs w:val="28"/>
        </w:rPr>
      </w:pPr>
      <w:r>
        <w:rPr>
          <w:rFonts w:eastAsia="標楷體" w:hint="eastAsia"/>
          <w:color w:val="FF0000"/>
          <w:sz w:val="28"/>
          <w:szCs w:val="28"/>
        </w:rPr>
        <w:t>協助區公所規劃符合在地特色並結合業務的性平創新方案。</w:t>
      </w:r>
    </w:p>
    <w:p w14:paraId="605EBF59" w14:textId="73B0673E" w:rsidR="006004F2" w:rsidRPr="00786D77" w:rsidRDefault="006004F2" w:rsidP="00786D77">
      <w:pPr>
        <w:pStyle w:val="3"/>
        <w:widowControl/>
        <w:numPr>
          <w:ilvl w:val="0"/>
          <w:numId w:val="17"/>
        </w:numPr>
        <w:spacing w:line="400" w:lineRule="exact"/>
        <w:ind w:leftChars="0"/>
        <w:jc w:val="both"/>
        <w:rPr>
          <w:rFonts w:eastAsia="標楷體"/>
          <w:color w:val="FF0000"/>
          <w:sz w:val="28"/>
          <w:szCs w:val="28"/>
        </w:rPr>
      </w:pPr>
      <w:r w:rsidRPr="006004F2">
        <w:rPr>
          <w:rFonts w:eastAsia="標楷體" w:hint="eastAsia"/>
          <w:color w:val="FF0000"/>
          <w:sz w:val="28"/>
          <w:szCs w:val="28"/>
        </w:rPr>
        <w:t>其他性別平等促進事宜。</w:t>
      </w:r>
    </w:p>
    <w:p w14:paraId="4CDAAA41" w14:textId="77777777" w:rsidR="00E27AD4" w:rsidRPr="00E27AD4" w:rsidRDefault="00E27AD4" w:rsidP="00E27AD4">
      <w:pPr>
        <w:pStyle w:val="21"/>
        <w:widowControl/>
        <w:numPr>
          <w:ilvl w:val="0"/>
          <w:numId w:val="5"/>
        </w:numPr>
        <w:spacing w:line="460" w:lineRule="exact"/>
        <w:ind w:leftChars="0"/>
        <w:jc w:val="both"/>
        <w:rPr>
          <w:rFonts w:ascii="標楷體" w:eastAsia="標楷體" w:hAnsi="標楷體"/>
          <w:color w:val="FF0000"/>
          <w:sz w:val="28"/>
          <w:szCs w:val="28"/>
        </w:rPr>
      </w:pPr>
      <w:r w:rsidRPr="00E27AD4">
        <w:rPr>
          <w:rFonts w:ascii="標楷體" w:eastAsia="標楷體" w:hAnsi="標楷體" w:hint="eastAsia"/>
          <w:color w:val="FF0000"/>
          <w:sz w:val="28"/>
          <w:szCs w:val="28"/>
        </w:rPr>
        <w:t>性別預算：</w:t>
      </w:r>
    </w:p>
    <w:p w14:paraId="6CBA05FB" w14:textId="5312D553" w:rsidR="00E27AD4" w:rsidRPr="00E27AD4" w:rsidRDefault="00E27AD4" w:rsidP="00E27AD4">
      <w:pPr>
        <w:pStyle w:val="21"/>
        <w:widowControl/>
        <w:numPr>
          <w:ilvl w:val="0"/>
          <w:numId w:val="18"/>
        </w:numPr>
        <w:spacing w:line="460" w:lineRule="exact"/>
        <w:ind w:leftChars="0"/>
        <w:jc w:val="both"/>
        <w:rPr>
          <w:rFonts w:ascii="標楷體" w:eastAsia="標楷體" w:hAnsi="標楷體"/>
          <w:color w:val="FF0000"/>
          <w:sz w:val="28"/>
          <w:szCs w:val="28"/>
        </w:rPr>
      </w:pPr>
      <w:r>
        <w:rPr>
          <w:rFonts w:ascii="標楷體" w:eastAsia="標楷體" w:hAnsi="標楷體" w:hint="eastAsia"/>
          <w:color w:val="FF0000"/>
          <w:sz w:val="28"/>
          <w:szCs w:val="28"/>
        </w:rPr>
        <w:t>參照</w:t>
      </w:r>
      <w:r w:rsidRPr="00E27AD4">
        <w:rPr>
          <w:rFonts w:ascii="標楷體" w:eastAsia="標楷體" w:hAnsi="標楷體" w:hint="eastAsia"/>
          <w:color w:val="FF0000"/>
          <w:sz w:val="28"/>
          <w:szCs w:val="28"/>
        </w:rPr>
        <w:t>主計處提供「桃園市政府性別預算編列及填表說明」</w:t>
      </w:r>
      <w:r>
        <w:rPr>
          <w:rFonts w:ascii="標楷體" w:eastAsia="標楷體" w:hAnsi="標楷體" w:hint="eastAsia"/>
          <w:color w:val="FF0000"/>
          <w:sz w:val="28"/>
          <w:szCs w:val="28"/>
        </w:rPr>
        <w:t>，</w:t>
      </w:r>
      <w:r w:rsidRPr="00E27AD4">
        <w:rPr>
          <w:rFonts w:ascii="標楷體" w:eastAsia="標楷體" w:hAnsi="標楷體" w:hint="eastAsia"/>
          <w:color w:val="FF0000"/>
          <w:sz w:val="28"/>
          <w:szCs w:val="28"/>
        </w:rPr>
        <w:t>於編列預算時能考量不同性別者、性傾向或性認同者之需求，並配合性別平等工作事項編列性別預算。</w:t>
      </w:r>
    </w:p>
    <w:p w14:paraId="61CE6B01" w14:textId="5F03C917" w:rsidR="00E27AD4" w:rsidRPr="00E27AD4" w:rsidRDefault="00E27AD4" w:rsidP="00E27AD4">
      <w:pPr>
        <w:pStyle w:val="21"/>
        <w:widowControl/>
        <w:numPr>
          <w:ilvl w:val="0"/>
          <w:numId w:val="18"/>
        </w:numPr>
        <w:spacing w:line="460" w:lineRule="exact"/>
        <w:ind w:leftChars="0"/>
        <w:jc w:val="both"/>
        <w:rPr>
          <w:rFonts w:ascii="標楷體" w:eastAsia="標楷體" w:hAnsi="標楷體"/>
          <w:color w:val="FF0000"/>
          <w:sz w:val="28"/>
          <w:szCs w:val="28"/>
        </w:rPr>
      </w:pPr>
      <w:r>
        <w:rPr>
          <w:rFonts w:ascii="標楷體" w:eastAsia="標楷體" w:hAnsi="標楷體" w:hint="eastAsia"/>
          <w:color w:val="FF0000"/>
          <w:sz w:val="28"/>
          <w:szCs w:val="28"/>
        </w:rPr>
        <w:t>本</w:t>
      </w:r>
      <w:r w:rsidRPr="00E27AD4">
        <w:rPr>
          <w:rFonts w:ascii="標楷體" w:eastAsia="標楷體" w:hAnsi="標楷體" w:hint="eastAsia"/>
          <w:color w:val="FF0000"/>
          <w:sz w:val="28"/>
          <w:szCs w:val="28"/>
        </w:rPr>
        <w:t>所於3月底前填寫當年度性別預算編列情形表及前一年度性別預算執行情形表，提經各區公所性別平等專案小組年度第1次會議檢視後，送主計處彙整提報性別主流化推動組會議。</w:t>
      </w:r>
    </w:p>
    <w:p w14:paraId="7980D511" w14:textId="03F1797D" w:rsidR="0014301B" w:rsidRPr="0043254E" w:rsidRDefault="0014301B"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性別意識培力：</w:t>
      </w:r>
    </w:p>
    <w:p w14:paraId="5E7AF099" w14:textId="737DE6C7" w:rsidR="00F04888" w:rsidRPr="0043254E" w:rsidRDefault="00F00C50" w:rsidP="00996728">
      <w:pPr>
        <w:pStyle w:val="4"/>
        <w:widowControl/>
        <w:numPr>
          <w:ilvl w:val="0"/>
          <w:numId w:val="12"/>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一般公務人員</w:t>
      </w:r>
      <w:r w:rsidRPr="0043254E">
        <w:rPr>
          <w:rFonts w:ascii="標楷體" w:eastAsia="標楷體" w:hAnsi="標楷體"/>
          <w:sz w:val="28"/>
          <w:szCs w:val="28"/>
        </w:rPr>
        <w:t>、主管人員</w:t>
      </w:r>
      <w:r w:rsidRPr="0043254E">
        <w:rPr>
          <w:rFonts w:ascii="標楷體" w:eastAsia="標楷體" w:hAnsi="標楷體" w:hint="eastAsia"/>
          <w:sz w:val="28"/>
          <w:szCs w:val="28"/>
        </w:rPr>
        <w:t>：</w:t>
      </w:r>
    </w:p>
    <w:p w14:paraId="2D6D0E80" w14:textId="77777777" w:rsidR="00252FBF" w:rsidRPr="0043254E" w:rsidRDefault="00CD7F4C" w:rsidP="00252FBF">
      <w:pPr>
        <w:pStyle w:val="21"/>
        <w:widowControl/>
        <w:numPr>
          <w:ilvl w:val="0"/>
          <w:numId w:val="9"/>
        </w:numPr>
        <w:spacing w:line="460" w:lineRule="exact"/>
        <w:ind w:leftChars="0" w:left="1220" w:hanging="284"/>
        <w:jc w:val="both"/>
        <w:rPr>
          <w:rFonts w:ascii="標楷體" w:eastAsia="標楷體" w:hAnsi="標楷體"/>
          <w:sz w:val="28"/>
          <w:szCs w:val="28"/>
        </w:rPr>
      </w:pPr>
      <w:r w:rsidRPr="0043254E">
        <w:rPr>
          <w:rFonts w:ascii="標楷體" w:eastAsia="標楷體" w:hAnsi="標楷體" w:hint="eastAsia"/>
          <w:sz w:val="28"/>
          <w:szCs w:val="28"/>
        </w:rPr>
        <w:t>本</w:t>
      </w:r>
      <w:r w:rsidR="00F231CA" w:rsidRPr="0043254E">
        <w:rPr>
          <w:rFonts w:ascii="標楷體" w:eastAsia="標楷體" w:hAnsi="標楷體" w:hint="eastAsia"/>
          <w:sz w:val="28"/>
          <w:szCs w:val="28"/>
        </w:rPr>
        <w:t>所</w:t>
      </w:r>
      <w:r w:rsidR="00F231CA" w:rsidRPr="0043254E">
        <w:rPr>
          <w:rFonts w:ascii="標楷體" w:eastAsia="標楷體" w:hAnsi="標楷體"/>
          <w:sz w:val="28"/>
          <w:szCs w:val="28"/>
        </w:rPr>
        <w:t>人事室</w:t>
      </w:r>
      <w:r w:rsidR="00F231CA" w:rsidRPr="0043254E">
        <w:rPr>
          <w:rFonts w:ascii="標楷體" w:eastAsia="標楷體" w:hAnsi="標楷體" w:hint="eastAsia"/>
          <w:sz w:val="28"/>
          <w:szCs w:val="28"/>
        </w:rPr>
        <w:t>，</w:t>
      </w:r>
      <w:r w:rsidR="00046AE6" w:rsidRPr="0043254E">
        <w:rPr>
          <w:rFonts w:ascii="標楷體" w:eastAsia="標楷體" w:hAnsi="標楷體" w:hint="eastAsia"/>
          <w:sz w:val="28"/>
          <w:szCs w:val="28"/>
        </w:rPr>
        <w:t>以專題演講、網絡研習、工作坊、電影賞析或讀書會等各種方式辦</w:t>
      </w:r>
      <w:r w:rsidR="00046AE6" w:rsidRPr="0043254E">
        <w:rPr>
          <w:rFonts w:ascii="標楷體" w:eastAsia="標楷體" w:hAnsi="標楷體"/>
          <w:sz w:val="28"/>
          <w:szCs w:val="28"/>
        </w:rPr>
        <w:t>理</w:t>
      </w:r>
      <w:r w:rsidR="00046AE6" w:rsidRPr="0043254E">
        <w:rPr>
          <w:rFonts w:ascii="標楷體" w:eastAsia="標楷體" w:hAnsi="標楷體" w:hint="eastAsia"/>
          <w:sz w:val="28"/>
          <w:szCs w:val="28"/>
        </w:rPr>
        <w:t>。一般公務人員及主管人員每年應施以至少2小時之性別主流化課程訓練及2小時</w:t>
      </w:r>
      <w:proofErr w:type="spellStart"/>
      <w:r w:rsidR="00046AE6" w:rsidRPr="0043254E">
        <w:rPr>
          <w:rFonts w:ascii="標楷體" w:eastAsia="標楷體" w:hAnsi="標楷體" w:hint="eastAsia"/>
          <w:sz w:val="28"/>
          <w:szCs w:val="28"/>
        </w:rPr>
        <w:t>CEDAW</w:t>
      </w:r>
      <w:proofErr w:type="spellEnd"/>
      <w:r w:rsidR="00046AE6" w:rsidRPr="0043254E">
        <w:rPr>
          <w:rFonts w:ascii="標楷體" w:eastAsia="標楷體" w:hAnsi="標楷體" w:hint="eastAsia"/>
          <w:sz w:val="28"/>
          <w:szCs w:val="28"/>
        </w:rPr>
        <w:t>實體課程。</w:t>
      </w:r>
    </w:p>
    <w:p w14:paraId="4BD21413" w14:textId="77777777" w:rsidR="00252FBF" w:rsidRPr="0043254E" w:rsidRDefault="00046AE6" w:rsidP="00252FBF">
      <w:pPr>
        <w:pStyle w:val="21"/>
        <w:widowControl/>
        <w:numPr>
          <w:ilvl w:val="0"/>
          <w:numId w:val="9"/>
        </w:numPr>
        <w:spacing w:line="460" w:lineRule="exact"/>
        <w:ind w:leftChars="0" w:left="1220" w:hanging="284"/>
        <w:jc w:val="both"/>
        <w:rPr>
          <w:rFonts w:ascii="標楷體" w:eastAsia="標楷體" w:hAnsi="標楷體"/>
          <w:sz w:val="28"/>
          <w:szCs w:val="28"/>
        </w:rPr>
      </w:pPr>
      <w:r w:rsidRPr="0043254E">
        <w:rPr>
          <w:rFonts w:ascii="標楷體" w:eastAsia="標楷體" w:hAnsi="標楷體" w:hint="eastAsia"/>
          <w:sz w:val="28"/>
          <w:szCs w:val="28"/>
        </w:rPr>
        <w:t>依不同職級及業務人員屬性規劃課程內容(如一般人員、主管人員、機關首長、性別平等業務相關人員等)。課程可分為基礎課程及進階課程，基礎課程之目標在使公務員具備性別主流化之基本概念；</w:t>
      </w:r>
      <w:r w:rsidRPr="0043254E">
        <w:rPr>
          <w:rFonts w:ascii="標楷體" w:eastAsia="標楷體" w:hAnsi="標楷體" w:hint="eastAsia"/>
          <w:sz w:val="28"/>
          <w:szCs w:val="28"/>
        </w:rPr>
        <w:lastRenderedPageBreak/>
        <w:t>進階課程之目標在使性別主流化之理念、目標及操作架構與業務工作相結合。曾參加基礎課程訓練之人員，宜施以進階課程訓練。</w:t>
      </w:r>
    </w:p>
    <w:p w14:paraId="5558F2FE" w14:textId="0CCFD8ED" w:rsidR="00833F84" w:rsidRPr="0043254E" w:rsidRDefault="00046AE6" w:rsidP="00833F84">
      <w:pPr>
        <w:pStyle w:val="21"/>
        <w:widowControl/>
        <w:numPr>
          <w:ilvl w:val="0"/>
          <w:numId w:val="9"/>
        </w:numPr>
        <w:spacing w:line="460" w:lineRule="exact"/>
        <w:ind w:leftChars="0" w:left="1220" w:hanging="284"/>
        <w:jc w:val="both"/>
        <w:rPr>
          <w:rFonts w:ascii="標楷體" w:eastAsia="標楷體" w:hAnsi="標楷體"/>
          <w:sz w:val="28"/>
          <w:szCs w:val="28"/>
        </w:rPr>
      </w:pPr>
      <w:r w:rsidRPr="0043254E">
        <w:rPr>
          <w:rFonts w:ascii="標楷體" w:eastAsia="標楷體" w:hAnsi="標楷體" w:hint="eastAsia"/>
          <w:sz w:val="28"/>
          <w:szCs w:val="28"/>
        </w:rPr>
        <w:t>性別主流化課程訓練依「各機關公務員性別主流化訓練計畫」規劃之基礎課程及進階課程辦理。</w:t>
      </w:r>
    </w:p>
    <w:p w14:paraId="506EEF29" w14:textId="400B4E83" w:rsidR="00F04888" w:rsidRPr="0043254E" w:rsidRDefault="00046AE6" w:rsidP="00833F84">
      <w:pPr>
        <w:pStyle w:val="21"/>
        <w:widowControl/>
        <w:numPr>
          <w:ilvl w:val="0"/>
          <w:numId w:val="9"/>
        </w:numPr>
        <w:spacing w:line="460" w:lineRule="exact"/>
        <w:ind w:leftChars="0" w:left="1220" w:hanging="284"/>
        <w:jc w:val="both"/>
        <w:rPr>
          <w:rFonts w:ascii="標楷體" w:eastAsia="標楷體" w:hAnsi="標楷體"/>
          <w:sz w:val="28"/>
          <w:szCs w:val="28"/>
        </w:rPr>
      </w:pPr>
      <w:proofErr w:type="spellStart"/>
      <w:r w:rsidRPr="0043254E">
        <w:rPr>
          <w:rFonts w:ascii="標楷體" w:eastAsia="標楷體" w:hAnsi="標楷體"/>
          <w:sz w:val="28"/>
          <w:szCs w:val="28"/>
        </w:rPr>
        <w:t>CEDAW</w:t>
      </w:r>
      <w:proofErr w:type="spellEnd"/>
      <w:r w:rsidRPr="0043254E">
        <w:rPr>
          <w:rFonts w:ascii="標楷體" w:eastAsia="標楷體" w:hAnsi="標楷體" w:hint="eastAsia"/>
          <w:sz w:val="28"/>
          <w:szCs w:val="28"/>
        </w:rPr>
        <w:t>實體課程依「消除對婦女一切形式歧視公約(</w:t>
      </w:r>
      <w:proofErr w:type="spellStart"/>
      <w:r w:rsidRPr="0043254E">
        <w:rPr>
          <w:rFonts w:ascii="標楷體" w:eastAsia="標楷體" w:hAnsi="標楷體"/>
          <w:sz w:val="28"/>
          <w:szCs w:val="28"/>
        </w:rPr>
        <w:t>CEDAW</w:t>
      </w:r>
      <w:proofErr w:type="spellEnd"/>
      <w:r w:rsidRPr="0043254E">
        <w:rPr>
          <w:rFonts w:ascii="標楷體" w:eastAsia="標楷體" w:hAnsi="標楷體"/>
          <w:sz w:val="28"/>
          <w:szCs w:val="28"/>
        </w:rPr>
        <w:t>)</w:t>
      </w:r>
      <w:r w:rsidRPr="0043254E">
        <w:rPr>
          <w:rFonts w:ascii="標楷體" w:eastAsia="標楷體" w:hAnsi="標楷體" w:hint="eastAsia"/>
          <w:sz w:val="28"/>
          <w:szCs w:val="28"/>
        </w:rPr>
        <w:t>教育訓練及成效評核實施計畫」</w:t>
      </w:r>
      <w:r w:rsidR="00A271A3" w:rsidRPr="0043254E">
        <w:rPr>
          <w:rFonts w:ascii="標楷體" w:eastAsia="標楷體" w:hAnsi="標楷體" w:hint="eastAsia"/>
          <w:sz w:val="28"/>
          <w:szCs w:val="28"/>
        </w:rPr>
        <w:t>之訓練內容</w:t>
      </w:r>
      <w:r w:rsidRPr="0043254E">
        <w:rPr>
          <w:rFonts w:ascii="標楷體" w:eastAsia="標楷體" w:hAnsi="標楷體" w:hint="eastAsia"/>
          <w:sz w:val="28"/>
          <w:szCs w:val="28"/>
        </w:rPr>
        <w:t>辦理</w:t>
      </w:r>
      <w:r w:rsidR="00A271A3" w:rsidRPr="0043254E">
        <w:rPr>
          <w:rFonts w:ascii="標楷體" w:eastAsia="標楷體" w:hAnsi="標楷體" w:hint="eastAsia"/>
          <w:sz w:val="28"/>
          <w:szCs w:val="28"/>
        </w:rPr>
        <w:t>(不含</w:t>
      </w:r>
      <w:proofErr w:type="spellStart"/>
      <w:r w:rsidR="00A271A3" w:rsidRPr="0043254E">
        <w:rPr>
          <w:rFonts w:ascii="標楷體" w:eastAsia="標楷體" w:hAnsi="標楷體" w:hint="eastAsia"/>
          <w:sz w:val="28"/>
          <w:szCs w:val="28"/>
        </w:rPr>
        <w:t>CEDAW</w:t>
      </w:r>
      <w:proofErr w:type="spellEnd"/>
      <w:r w:rsidR="00A271A3" w:rsidRPr="0043254E">
        <w:rPr>
          <w:rFonts w:ascii="標楷體" w:eastAsia="標楷體" w:hAnsi="標楷體" w:hint="eastAsia"/>
          <w:sz w:val="28"/>
          <w:szCs w:val="28"/>
        </w:rPr>
        <w:t>概論課程)</w:t>
      </w:r>
      <w:r w:rsidRPr="0043254E">
        <w:rPr>
          <w:rFonts w:ascii="標楷體" w:eastAsia="標楷體" w:hAnsi="標楷體" w:hint="eastAsia"/>
          <w:sz w:val="28"/>
          <w:szCs w:val="28"/>
        </w:rPr>
        <w:t>。</w:t>
      </w:r>
    </w:p>
    <w:p w14:paraId="4AD9DF85" w14:textId="1CC1ADB4" w:rsidR="00F231CA" w:rsidRPr="0043254E" w:rsidRDefault="00C81891" w:rsidP="00996728">
      <w:pPr>
        <w:pStyle w:val="4"/>
        <w:widowControl/>
        <w:numPr>
          <w:ilvl w:val="0"/>
          <w:numId w:val="12"/>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性別平等業務相關人員</w:t>
      </w:r>
      <w:r w:rsidR="0014301B" w:rsidRPr="0043254E">
        <w:rPr>
          <w:rFonts w:ascii="標楷體" w:eastAsia="標楷體" w:hAnsi="標楷體" w:hint="eastAsia"/>
          <w:sz w:val="28"/>
          <w:szCs w:val="28"/>
        </w:rPr>
        <w:t>：每人每年應參加本府辦理各項性別意識培力課程10小時以上</w:t>
      </w:r>
      <w:r w:rsidR="00026B19" w:rsidRPr="0043254E">
        <w:rPr>
          <w:rFonts w:ascii="標楷體" w:eastAsia="標楷體" w:hAnsi="標楷體"/>
          <w:sz w:val="28"/>
          <w:szCs w:val="28"/>
        </w:rPr>
        <w:t>，其時數可將其他性別</w:t>
      </w:r>
      <w:r w:rsidR="00026B19" w:rsidRPr="0043254E">
        <w:rPr>
          <w:rFonts w:ascii="標楷體" w:eastAsia="標楷體" w:hAnsi="標楷體" w:hint="eastAsia"/>
          <w:sz w:val="28"/>
          <w:szCs w:val="28"/>
        </w:rPr>
        <w:t>平等相關訓練</w:t>
      </w:r>
      <w:r w:rsidR="00026B19" w:rsidRPr="0043254E">
        <w:rPr>
          <w:rFonts w:ascii="標楷體" w:eastAsia="標楷體" w:hAnsi="標楷體"/>
          <w:sz w:val="28"/>
          <w:szCs w:val="28"/>
        </w:rPr>
        <w:t>研習時數納入</w:t>
      </w:r>
      <w:proofErr w:type="gramStart"/>
      <w:r w:rsidR="00026B19" w:rsidRPr="0043254E">
        <w:rPr>
          <w:rFonts w:ascii="標楷體" w:eastAsia="標楷體" w:hAnsi="標楷體"/>
          <w:sz w:val="28"/>
          <w:szCs w:val="28"/>
        </w:rPr>
        <w:t>併</w:t>
      </w:r>
      <w:proofErr w:type="gramEnd"/>
      <w:r w:rsidR="00026B19" w:rsidRPr="0043254E">
        <w:rPr>
          <w:rFonts w:ascii="標楷體" w:eastAsia="標楷體" w:hAnsi="標楷體"/>
          <w:sz w:val="28"/>
          <w:szCs w:val="28"/>
        </w:rPr>
        <w:t>計</w:t>
      </w:r>
      <w:r w:rsidR="00026B19" w:rsidRPr="0043254E">
        <w:rPr>
          <w:rFonts w:ascii="標楷體" w:eastAsia="標楷體" w:hAnsi="標楷體" w:hint="eastAsia"/>
          <w:sz w:val="28"/>
          <w:szCs w:val="28"/>
        </w:rPr>
        <w:t>。</w:t>
      </w:r>
    </w:p>
    <w:p w14:paraId="2360D32D" w14:textId="77777777" w:rsidR="0014301B" w:rsidRPr="0043254E" w:rsidRDefault="0014301B" w:rsidP="00996728">
      <w:pPr>
        <w:pStyle w:val="4"/>
        <w:widowControl/>
        <w:numPr>
          <w:ilvl w:val="0"/>
          <w:numId w:val="12"/>
        </w:numPr>
        <w:spacing w:line="460" w:lineRule="exact"/>
        <w:ind w:leftChars="0" w:left="851" w:hanging="567"/>
        <w:jc w:val="both"/>
        <w:rPr>
          <w:rFonts w:ascii="標楷體" w:eastAsia="標楷體" w:hAnsi="標楷體"/>
          <w:sz w:val="28"/>
          <w:szCs w:val="28"/>
        </w:rPr>
      </w:pPr>
      <w:r w:rsidRPr="0043254E">
        <w:rPr>
          <w:rFonts w:ascii="標楷體" w:eastAsia="標楷體" w:hAnsi="標楷體" w:hint="eastAsia"/>
          <w:sz w:val="28"/>
          <w:szCs w:val="28"/>
        </w:rPr>
        <w:t>執行成果：</w:t>
      </w:r>
      <w:proofErr w:type="gramStart"/>
      <w:r w:rsidRPr="0043254E">
        <w:rPr>
          <w:rFonts w:ascii="標楷體" w:eastAsia="標楷體" w:hAnsi="標楷體" w:hint="eastAsia"/>
          <w:sz w:val="28"/>
          <w:szCs w:val="28"/>
        </w:rPr>
        <w:t>每年依培力</w:t>
      </w:r>
      <w:proofErr w:type="gramEnd"/>
      <w:r w:rsidRPr="0043254E">
        <w:rPr>
          <w:rFonts w:ascii="標楷體" w:eastAsia="標楷體" w:hAnsi="標楷體" w:hint="eastAsia"/>
          <w:sz w:val="28"/>
          <w:szCs w:val="28"/>
        </w:rPr>
        <w:t>成果表(如</w:t>
      </w:r>
      <w:r w:rsidRPr="0043254E">
        <w:rPr>
          <w:rFonts w:ascii="標楷體" w:eastAsia="標楷體" w:hAnsi="標楷體"/>
          <w:sz w:val="28"/>
          <w:szCs w:val="28"/>
        </w:rPr>
        <w:t>附</w:t>
      </w:r>
      <w:r w:rsidRPr="0043254E">
        <w:rPr>
          <w:rFonts w:ascii="標楷體" w:eastAsia="標楷體" w:hAnsi="標楷體" w:hint="eastAsia"/>
          <w:sz w:val="28"/>
          <w:szCs w:val="28"/>
        </w:rPr>
        <w:t>表2)</w:t>
      </w:r>
      <w:r w:rsidRPr="0043254E">
        <w:rPr>
          <w:rFonts w:ascii="標楷體" w:eastAsia="標楷體" w:hAnsi="標楷體"/>
          <w:sz w:val="28"/>
          <w:szCs w:val="28"/>
        </w:rPr>
        <w:t>分別於</w:t>
      </w:r>
      <w:r w:rsidRPr="0043254E">
        <w:rPr>
          <w:rFonts w:ascii="標楷體" w:eastAsia="標楷體" w:hAnsi="標楷體" w:hint="eastAsia"/>
          <w:sz w:val="28"/>
          <w:szCs w:val="28"/>
        </w:rPr>
        <w:t>4月</w:t>
      </w:r>
      <w:r w:rsidRPr="0043254E">
        <w:rPr>
          <w:rFonts w:ascii="標楷體" w:eastAsia="標楷體" w:hAnsi="標楷體"/>
          <w:sz w:val="28"/>
          <w:szCs w:val="28"/>
        </w:rPr>
        <w:t>、</w:t>
      </w:r>
      <w:r w:rsidRPr="0043254E">
        <w:rPr>
          <w:rFonts w:ascii="標楷體" w:eastAsia="標楷體" w:hAnsi="標楷體" w:hint="eastAsia"/>
          <w:sz w:val="28"/>
          <w:szCs w:val="28"/>
        </w:rPr>
        <w:t>7月</w:t>
      </w:r>
      <w:r w:rsidRPr="0043254E">
        <w:rPr>
          <w:rFonts w:ascii="標楷體" w:eastAsia="標楷體" w:hAnsi="標楷體"/>
          <w:sz w:val="28"/>
          <w:szCs w:val="28"/>
        </w:rPr>
        <w:t>、</w:t>
      </w:r>
      <w:r w:rsidRPr="0043254E">
        <w:rPr>
          <w:rFonts w:ascii="標楷體" w:eastAsia="標楷體" w:hAnsi="標楷體" w:hint="eastAsia"/>
          <w:sz w:val="28"/>
          <w:szCs w:val="28"/>
        </w:rPr>
        <w:t>10月</w:t>
      </w:r>
      <w:r w:rsidRPr="0043254E">
        <w:rPr>
          <w:rFonts w:ascii="標楷體" w:eastAsia="標楷體" w:hAnsi="標楷體"/>
          <w:sz w:val="28"/>
          <w:szCs w:val="28"/>
        </w:rPr>
        <w:t>及次年</w:t>
      </w:r>
      <w:r w:rsidRPr="0043254E">
        <w:rPr>
          <w:rFonts w:ascii="標楷體" w:eastAsia="標楷體" w:hAnsi="標楷體" w:hint="eastAsia"/>
          <w:sz w:val="28"/>
          <w:szCs w:val="28"/>
        </w:rPr>
        <w:t>1月（含</w:t>
      </w:r>
      <w:r w:rsidRPr="0043254E">
        <w:rPr>
          <w:rFonts w:ascii="標楷體" w:eastAsia="標楷體" w:hAnsi="標楷體"/>
          <w:sz w:val="28"/>
          <w:szCs w:val="28"/>
        </w:rPr>
        <w:t>前一年度</w:t>
      </w:r>
      <w:r w:rsidRPr="0043254E">
        <w:rPr>
          <w:rFonts w:ascii="標楷體" w:eastAsia="標楷體" w:hAnsi="標楷體" w:hint="eastAsia"/>
          <w:sz w:val="28"/>
          <w:szCs w:val="28"/>
        </w:rPr>
        <w:t>培</w:t>
      </w:r>
      <w:r w:rsidRPr="0043254E">
        <w:rPr>
          <w:rFonts w:ascii="標楷體" w:eastAsia="標楷體" w:hAnsi="標楷體"/>
          <w:sz w:val="28"/>
          <w:szCs w:val="28"/>
        </w:rPr>
        <w:t>力總成果</w:t>
      </w:r>
      <w:r w:rsidRPr="0043254E">
        <w:rPr>
          <w:rFonts w:ascii="標楷體" w:eastAsia="標楷體" w:hAnsi="標楷體" w:hint="eastAsia"/>
          <w:sz w:val="28"/>
          <w:szCs w:val="28"/>
        </w:rPr>
        <w:t>表</w:t>
      </w:r>
      <w:r w:rsidR="0035631F" w:rsidRPr="0043254E">
        <w:rPr>
          <w:rFonts w:ascii="標楷體" w:eastAsia="標楷體" w:hAnsi="標楷體" w:hint="eastAsia"/>
          <w:sz w:val="28"/>
          <w:szCs w:val="28"/>
        </w:rPr>
        <w:t>，</w:t>
      </w:r>
      <w:r w:rsidRPr="0043254E">
        <w:rPr>
          <w:rFonts w:ascii="標楷體" w:eastAsia="標楷體" w:hAnsi="標楷體" w:hint="eastAsia"/>
          <w:sz w:val="28"/>
          <w:szCs w:val="28"/>
        </w:rPr>
        <w:t>如附表3），</w:t>
      </w:r>
      <w:r w:rsidRPr="0043254E">
        <w:rPr>
          <w:rFonts w:ascii="標楷體" w:eastAsia="標楷體" w:hAnsi="標楷體"/>
          <w:sz w:val="28"/>
          <w:szCs w:val="28"/>
        </w:rPr>
        <w:t>提</w:t>
      </w:r>
      <w:r w:rsidRPr="0043254E">
        <w:rPr>
          <w:rFonts w:ascii="標楷體" w:eastAsia="標楷體" w:hAnsi="標楷體" w:hint="eastAsia"/>
          <w:sz w:val="28"/>
          <w:szCs w:val="28"/>
        </w:rPr>
        <w:t>出</w:t>
      </w:r>
      <w:r w:rsidRPr="0043254E">
        <w:rPr>
          <w:rFonts w:ascii="標楷體" w:eastAsia="標楷體" w:hAnsi="標楷體"/>
          <w:sz w:val="28"/>
          <w:szCs w:val="28"/>
        </w:rPr>
        <w:t>培力訓練</w:t>
      </w:r>
      <w:r w:rsidRPr="0043254E">
        <w:rPr>
          <w:rFonts w:ascii="標楷體" w:eastAsia="標楷體" w:hAnsi="標楷體" w:hint="eastAsia"/>
          <w:sz w:val="28"/>
          <w:szCs w:val="28"/>
        </w:rPr>
        <w:t>之成</w:t>
      </w:r>
      <w:r w:rsidRPr="0043254E">
        <w:rPr>
          <w:rFonts w:ascii="標楷體" w:eastAsia="標楷體" w:hAnsi="標楷體"/>
          <w:sz w:val="28"/>
          <w:szCs w:val="28"/>
        </w:rPr>
        <w:t>果</w:t>
      </w:r>
      <w:r w:rsidRPr="0043254E">
        <w:rPr>
          <w:rFonts w:ascii="標楷體" w:eastAsia="標楷體" w:hAnsi="標楷體" w:hint="eastAsia"/>
          <w:sz w:val="28"/>
          <w:szCs w:val="28"/>
        </w:rPr>
        <w:t>報</w:t>
      </w:r>
      <w:r w:rsidRPr="0043254E">
        <w:rPr>
          <w:rFonts w:ascii="標楷體" w:eastAsia="標楷體" w:hAnsi="標楷體"/>
          <w:sz w:val="28"/>
          <w:szCs w:val="28"/>
        </w:rPr>
        <w:t>告。</w:t>
      </w:r>
    </w:p>
    <w:p w14:paraId="5492215D" w14:textId="77777777" w:rsidR="0014301B" w:rsidRPr="0043254E" w:rsidRDefault="0014301B" w:rsidP="00996728">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對民眾推展性別平等宣導：每年應對民眾辦理</w:t>
      </w:r>
      <w:r w:rsidR="00383B1C" w:rsidRPr="0043254E">
        <w:rPr>
          <w:rFonts w:ascii="標楷體" w:eastAsia="標楷體" w:hAnsi="標楷體" w:hint="eastAsia"/>
          <w:sz w:val="28"/>
          <w:szCs w:val="28"/>
        </w:rPr>
        <w:t>1</w:t>
      </w:r>
      <w:r w:rsidRPr="0043254E">
        <w:rPr>
          <w:rFonts w:ascii="標楷體" w:eastAsia="標楷體" w:hAnsi="標楷體" w:hint="eastAsia"/>
          <w:sz w:val="28"/>
          <w:szCs w:val="28"/>
        </w:rPr>
        <w:t>次</w:t>
      </w:r>
      <w:proofErr w:type="spellStart"/>
      <w:r w:rsidRPr="0043254E">
        <w:rPr>
          <w:rFonts w:ascii="標楷體" w:eastAsia="標楷體" w:hAnsi="標楷體" w:hint="eastAsia"/>
          <w:sz w:val="28"/>
          <w:szCs w:val="28"/>
        </w:rPr>
        <w:t>CEDAW</w:t>
      </w:r>
      <w:proofErr w:type="spellEnd"/>
      <w:r w:rsidR="00383B1C" w:rsidRPr="0043254E">
        <w:rPr>
          <w:rFonts w:ascii="標楷體" w:eastAsia="標楷體" w:hAnsi="標楷體" w:hint="eastAsia"/>
          <w:sz w:val="28"/>
          <w:szCs w:val="28"/>
        </w:rPr>
        <w:t>或性別平等議題</w:t>
      </w:r>
      <w:r w:rsidRPr="0043254E">
        <w:rPr>
          <w:rFonts w:ascii="標楷體" w:eastAsia="標楷體" w:hAnsi="標楷體" w:hint="eastAsia"/>
          <w:sz w:val="28"/>
          <w:szCs w:val="28"/>
        </w:rPr>
        <w:t>之宣導事宜。</w:t>
      </w:r>
      <w:r w:rsidR="00996728" w:rsidRPr="0043254E">
        <w:rPr>
          <w:rFonts w:ascii="標楷體" w:eastAsia="標楷體" w:hAnsi="標楷體" w:hint="eastAsia"/>
          <w:sz w:val="28"/>
          <w:szCs w:val="28"/>
        </w:rPr>
        <w:t>另</w:t>
      </w:r>
      <w:proofErr w:type="gramStart"/>
      <w:r w:rsidR="00996728" w:rsidRPr="0043254E">
        <w:rPr>
          <w:rFonts w:ascii="標楷體" w:eastAsia="標楷體" w:hAnsi="標楷體" w:hint="eastAsia"/>
          <w:sz w:val="28"/>
          <w:szCs w:val="28"/>
        </w:rPr>
        <w:t>每年依培力</w:t>
      </w:r>
      <w:proofErr w:type="gramEnd"/>
      <w:r w:rsidR="00996728" w:rsidRPr="0043254E">
        <w:rPr>
          <w:rFonts w:ascii="標楷體" w:eastAsia="標楷體" w:hAnsi="標楷體" w:hint="eastAsia"/>
          <w:sz w:val="28"/>
          <w:szCs w:val="28"/>
        </w:rPr>
        <w:t>成果表</w:t>
      </w:r>
      <w:r w:rsidR="00996728" w:rsidRPr="0043254E">
        <w:rPr>
          <w:rFonts w:ascii="標楷體" w:eastAsia="標楷體" w:hAnsi="標楷體"/>
          <w:sz w:val="28"/>
          <w:szCs w:val="28"/>
        </w:rPr>
        <w:t>分別於</w:t>
      </w:r>
      <w:r w:rsidR="00996728" w:rsidRPr="0043254E">
        <w:rPr>
          <w:rFonts w:ascii="標楷體" w:eastAsia="標楷體" w:hAnsi="標楷體" w:hint="eastAsia"/>
          <w:sz w:val="28"/>
          <w:szCs w:val="28"/>
        </w:rPr>
        <w:t>4月</w:t>
      </w:r>
      <w:r w:rsidR="00996728" w:rsidRPr="0043254E">
        <w:rPr>
          <w:rFonts w:ascii="標楷體" w:eastAsia="標楷體" w:hAnsi="標楷體"/>
          <w:sz w:val="28"/>
          <w:szCs w:val="28"/>
        </w:rPr>
        <w:t>、</w:t>
      </w:r>
      <w:r w:rsidR="00996728" w:rsidRPr="0043254E">
        <w:rPr>
          <w:rFonts w:ascii="標楷體" w:eastAsia="標楷體" w:hAnsi="標楷體" w:hint="eastAsia"/>
          <w:sz w:val="28"/>
          <w:szCs w:val="28"/>
        </w:rPr>
        <w:t>7月</w:t>
      </w:r>
      <w:r w:rsidR="00996728" w:rsidRPr="0043254E">
        <w:rPr>
          <w:rFonts w:ascii="標楷體" w:eastAsia="標楷體" w:hAnsi="標楷體"/>
          <w:sz w:val="28"/>
          <w:szCs w:val="28"/>
        </w:rPr>
        <w:t>、</w:t>
      </w:r>
      <w:r w:rsidR="00996728" w:rsidRPr="0043254E">
        <w:rPr>
          <w:rFonts w:ascii="標楷體" w:eastAsia="標楷體" w:hAnsi="標楷體" w:hint="eastAsia"/>
          <w:sz w:val="28"/>
          <w:szCs w:val="28"/>
        </w:rPr>
        <w:t>10月</w:t>
      </w:r>
      <w:r w:rsidR="00996728" w:rsidRPr="0043254E">
        <w:rPr>
          <w:rFonts w:ascii="標楷體" w:eastAsia="標楷體" w:hAnsi="標楷體"/>
          <w:sz w:val="28"/>
          <w:szCs w:val="28"/>
        </w:rPr>
        <w:t>及次年</w:t>
      </w:r>
      <w:r w:rsidR="00996728" w:rsidRPr="0043254E">
        <w:rPr>
          <w:rFonts w:ascii="標楷體" w:eastAsia="標楷體" w:hAnsi="標楷體" w:hint="eastAsia"/>
          <w:sz w:val="28"/>
          <w:szCs w:val="28"/>
        </w:rPr>
        <w:t>1月（含</w:t>
      </w:r>
      <w:r w:rsidR="00996728" w:rsidRPr="0043254E">
        <w:rPr>
          <w:rFonts w:ascii="標楷體" w:eastAsia="標楷體" w:hAnsi="標楷體"/>
          <w:sz w:val="28"/>
          <w:szCs w:val="28"/>
        </w:rPr>
        <w:t>前一年度</w:t>
      </w:r>
      <w:r w:rsidR="00996728" w:rsidRPr="0043254E">
        <w:rPr>
          <w:rFonts w:ascii="標楷體" w:eastAsia="標楷體" w:hAnsi="標楷體" w:hint="eastAsia"/>
          <w:sz w:val="28"/>
          <w:szCs w:val="28"/>
        </w:rPr>
        <w:t>培</w:t>
      </w:r>
      <w:r w:rsidR="00996728" w:rsidRPr="0043254E">
        <w:rPr>
          <w:rFonts w:ascii="標楷體" w:eastAsia="標楷體" w:hAnsi="標楷體"/>
          <w:sz w:val="28"/>
          <w:szCs w:val="28"/>
        </w:rPr>
        <w:t>力總成果</w:t>
      </w:r>
      <w:r w:rsidR="00996728" w:rsidRPr="0043254E">
        <w:rPr>
          <w:rFonts w:ascii="標楷體" w:eastAsia="標楷體" w:hAnsi="標楷體" w:hint="eastAsia"/>
          <w:sz w:val="28"/>
          <w:szCs w:val="28"/>
        </w:rPr>
        <w:t>表），</w:t>
      </w:r>
      <w:r w:rsidR="00996728" w:rsidRPr="0043254E">
        <w:rPr>
          <w:rFonts w:ascii="標楷體" w:eastAsia="標楷體" w:hAnsi="標楷體"/>
          <w:sz w:val="28"/>
          <w:szCs w:val="28"/>
        </w:rPr>
        <w:t>提</w:t>
      </w:r>
      <w:r w:rsidR="00996728" w:rsidRPr="0043254E">
        <w:rPr>
          <w:rFonts w:ascii="標楷體" w:eastAsia="標楷體" w:hAnsi="標楷體" w:hint="eastAsia"/>
          <w:sz w:val="28"/>
          <w:szCs w:val="28"/>
        </w:rPr>
        <w:t>出</w:t>
      </w:r>
      <w:r w:rsidR="00DC5417" w:rsidRPr="0043254E">
        <w:rPr>
          <w:rFonts w:ascii="標楷體" w:eastAsia="標楷體" w:hAnsi="標楷體" w:hint="eastAsia"/>
          <w:sz w:val="28"/>
          <w:szCs w:val="28"/>
        </w:rPr>
        <w:t>宣導</w:t>
      </w:r>
      <w:r w:rsidR="00996728" w:rsidRPr="0043254E">
        <w:rPr>
          <w:rFonts w:ascii="標楷體" w:eastAsia="標楷體" w:hAnsi="標楷體" w:hint="eastAsia"/>
          <w:sz w:val="28"/>
          <w:szCs w:val="28"/>
        </w:rPr>
        <w:t>之成</w:t>
      </w:r>
      <w:r w:rsidR="00996728" w:rsidRPr="0043254E">
        <w:rPr>
          <w:rFonts w:ascii="標楷體" w:eastAsia="標楷體" w:hAnsi="標楷體"/>
          <w:sz w:val="28"/>
          <w:szCs w:val="28"/>
        </w:rPr>
        <w:t>果</w:t>
      </w:r>
      <w:r w:rsidR="00996728" w:rsidRPr="0043254E">
        <w:rPr>
          <w:rFonts w:ascii="標楷體" w:eastAsia="標楷體" w:hAnsi="標楷體" w:hint="eastAsia"/>
          <w:sz w:val="28"/>
          <w:szCs w:val="28"/>
        </w:rPr>
        <w:t>報</w:t>
      </w:r>
      <w:r w:rsidR="00996728" w:rsidRPr="0043254E">
        <w:rPr>
          <w:rFonts w:ascii="標楷體" w:eastAsia="標楷體" w:hAnsi="標楷體"/>
          <w:sz w:val="28"/>
          <w:szCs w:val="28"/>
        </w:rPr>
        <w:t>告。</w:t>
      </w:r>
    </w:p>
    <w:p w14:paraId="0516D996" w14:textId="77777777" w:rsidR="00383B1C" w:rsidRPr="0043254E" w:rsidRDefault="00C02EEE"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結合資源發展在地性別平等方案：</w:t>
      </w:r>
      <w:r w:rsidR="00BE6769" w:rsidRPr="0043254E">
        <w:rPr>
          <w:rFonts w:ascii="標楷體" w:eastAsia="標楷體" w:hAnsi="標楷體" w:hint="eastAsia"/>
          <w:sz w:val="28"/>
          <w:szCs w:val="28"/>
        </w:rPr>
        <w:t>本</w:t>
      </w:r>
      <w:r w:rsidR="00383B1C" w:rsidRPr="0043254E">
        <w:rPr>
          <w:rFonts w:ascii="標楷體" w:eastAsia="標楷體" w:hAnsi="標楷體" w:hint="eastAsia"/>
          <w:sz w:val="28"/>
          <w:szCs w:val="28"/>
        </w:rPr>
        <w:t>所每年結合</w:t>
      </w:r>
      <w:r w:rsidR="000E718F" w:rsidRPr="0043254E">
        <w:rPr>
          <w:rFonts w:ascii="標楷體" w:eastAsia="標楷體" w:hAnsi="標楷體" w:hint="eastAsia"/>
          <w:sz w:val="28"/>
          <w:szCs w:val="28"/>
        </w:rPr>
        <w:t>在地</w:t>
      </w:r>
      <w:r w:rsidR="00383B1C" w:rsidRPr="0043254E">
        <w:rPr>
          <w:rFonts w:ascii="標楷體" w:eastAsia="標楷體" w:hAnsi="標楷體" w:hint="eastAsia"/>
          <w:sz w:val="28"/>
          <w:szCs w:val="28"/>
        </w:rPr>
        <w:t>資源，</w:t>
      </w:r>
      <w:r w:rsidR="00375E2C" w:rsidRPr="0043254E">
        <w:rPr>
          <w:rFonts w:ascii="標楷體" w:eastAsia="標楷體" w:hAnsi="標楷體" w:hint="eastAsia"/>
          <w:sz w:val="28"/>
          <w:szCs w:val="28"/>
        </w:rPr>
        <w:t>落實性別平等</w:t>
      </w:r>
      <w:r w:rsidR="00383B1C" w:rsidRPr="0043254E">
        <w:rPr>
          <w:rFonts w:ascii="標楷體" w:eastAsia="標楷體" w:hAnsi="標楷體" w:hint="eastAsia"/>
          <w:sz w:val="28"/>
          <w:szCs w:val="28"/>
        </w:rPr>
        <w:t>推展方案。</w:t>
      </w:r>
    </w:p>
    <w:p w14:paraId="58A5F914" w14:textId="77777777" w:rsidR="0014301B" w:rsidRPr="0043254E" w:rsidRDefault="0014301B"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建置及定期維護性別平等專區網頁。</w:t>
      </w:r>
    </w:p>
    <w:p w14:paraId="725146D5" w14:textId="77777777" w:rsidR="0014301B" w:rsidRPr="0043254E" w:rsidRDefault="0014301B" w:rsidP="00F231CA">
      <w:pPr>
        <w:pStyle w:val="21"/>
        <w:widowControl/>
        <w:numPr>
          <w:ilvl w:val="0"/>
          <w:numId w:val="5"/>
        </w:numPr>
        <w:spacing w:line="460" w:lineRule="exact"/>
        <w:ind w:leftChars="0" w:left="709" w:hanging="567"/>
        <w:jc w:val="both"/>
        <w:rPr>
          <w:rFonts w:ascii="標楷體" w:eastAsia="標楷體" w:hAnsi="標楷體"/>
          <w:sz w:val="28"/>
          <w:szCs w:val="28"/>
        </w:rPr>
      </w:pPr>
      <w:r w:rsidRPr="0043254E">
        <w:rPr>
          <w:rFonts w:ascii="標楷體" w:eastAsia="標楷體" w:hAnsi="標楷體" w:hint="eastAsia"/>
          <w:sz w:val="28"/>
          <w:szCs w:val="28"/>
        </w:rPr>
        <w:t>其他性別平等促進事宜。</w:t>
      </w:r>
    </w:p>
    <w:p w14:paraId="33176007" w14:textId="6AEE6B8A" w:rsidR="0014301B" w:rsidRDefault="0014301B" w:rsidP="00F231CA">
      <w:pPr>
        <w:pStyle w:val="4"/>
        <w:widowControl/>
        <w:numPr>
          <w:ilvl w:val="0"/>
          <w:numId w:val="4"/>
        </w:numPr>
        <w:tabs>
          <w:tab w:val="left" w:pos="709"/>
        </w:tabs>
        <w:spacing w:line="460" w:lineRule="exact"/>
        <w:ind w:leftChars="0" w:left="567" w:hanging="567"/>
        <w:jc w:val="both"/>
        <w:rPr>
          <w:rFonts w:ascii="標楷體" w:eastAsia="標楷體" w:hAnsi="標楷體"/>
          <w:sz w:val="28"/>
          <w:szCs w:val="28"/>
        </w:rPr>
      </w:pPr>
      <w:r w:rsidRPr="0043254E">
        <w:rPr>
          <w:rFonts w:ascii="標楷體" w:eastAsia="標楷體" w:hAnsi="標楷體" w:hint="eastAsia"/>
          <w:b/>
          <w:sz w:val="28"/>
          <w:szCs w:val="28"/>
        </w:rPr>
        <w:t>經費來源：</w:t>
      </w:r>
      <w:r w:rsidRPr="0043254E">
        <w:rPr>
          <w:rFonts w:ascii="標楷體" w:eastAsia="標楷體" w:hAnsi="標楷體" w:hint="eastAsia"/>
          <w:sz w:val="28"/>
          <w:szCs w:val="28"/>
        </w:rPr>
        <w:t>由</w:t>
      </w:r>
      <w:r w:rsidR="00BE6769" w:rsidRPr="0043254E">
        <w:rPr>
          <w:rFonts w:ascii="標楷體" w:eastAsia="標楷體" w:hAnsi="標楷體" w:hint="eastAsia"/>
          <w:sz w:val="28"/>
          <w:szCs w:val="28"/>
        </w:rPr>
        <w:t>本</w:t>
      </w:r>
      <w:r w:rsidRPr="0043254E">
        <w:rPr>
          <w:rFonts w:ascii="標楷體" w:eastAsia="標楷體" w:hAnsi="標楷體" w:hint="eastAsia"/>
          <w:sz w:val="28"/>
          <w:szCs w:val="28"/>
        </w:rPr>
        <w:t>所編列年度預算或由相關業務預算支應。</w:t>
      </w:r>
    </w:p>
    <w:p w14:paraId="4460D92A" w14:textId="77777777" w:rsidR="00E27AD4" w:rsidRDefault="00E27AD4" w:rsidP="00E27AD4">
      <w:pPr>
        <w:pStyle w:val="4"/>
        <w:widowControl/>
        <w:numPr>
          <w:ilvl w:val="0"/>
          <w:numId w:val="4"/>
        </w:numPr>
        <w:tabs>
          <w:tab w:val="left" w:pos="709"/>
        </w:tabs>
        <w:spacing w:line="400" w:lineRule="exact"/>
        <w:ind w:leftChars="0" w:left="567" w:hanging="567"/>
        <w:jc w:val="both"/>
        <w:rPr>
          <w:rFonts w:eastAsia="標楷體"/>
          <w:b/>
          <w:color w:val="000000" w:themeColor="text1"/>
          <w:sz w:val="28"/>
          <w:szCs w:val="28"/>
        </w:rPr>
      </w:pPr>
      <w:r>
        <w:rPr>
          <w:rFonts w:eastAsia="標楷體" w:hint="eastAsia"/>
          <w:b/>
          <w:color w:val="000000" w:themeColor="text1"/>
          <w:sz w:val="28"/>
          <w:szCs w:val="28"/>
        </w:rPr>
        <w:t>預期效益：</w:t>
      </w:r>
    </w:p>
    <w:p w14:paraId="527806E9" w14:textId="77777777" w:rsidR="00E27AD4" w:rsidRPr="0046549A" w:rsidRDefault="00E27AD4" w:rsidP="00E27AD4">
      <w:pPr>
        <w:pStyle w:val="21"/>
        <w:widowControl/>
        <w:numPr>
          <w:ilvl w:val="0"/>
          <w:numId w:val="19"/>
        </w:numPr>
        <w:spacing w:line="400" w:lineRule="exact"/>
        <w:ind w:leftChars="0" w:left="709" w:hanging="567"/>
        <w:jc w:val="both"/>
        <w:rPr>
          <w:rFonts w:eastAsia="標楷體"/>
          <w:color w:val="FF0000"/>
          <w:sz w:val="28"/>
          <w:szCs w:val="28"/>
        </w:rPr>
      </w:pPr>
      <w:r w:rsidRPr="0046549A">
        <w:rPr>
          <w:rFonts w:eastAsia="標楷體"/>
          <w:color w:val="FF0000"/>
          <w:sz w:val="28"/>
          <w:szCs w:val="28"/>
        </w:rPr>
        <w:t>提昇本府公務人員性別主流化意識，建立性別觀點，並全面落實性別平等相關作為。</w:t>
      </w:r>
    </w:p>
    <w:p w14:paraId="61ADECA3" w14:textId="77777777" w:rsidR="00E27AD4" w:rsidRPr="0046549A" w:rsidRDefault="00E27AD4" w:rsidP="00E27AD4">
      <w:pPr>
        <w:pStyle w:val="21"/>
        <w:widowControl/>
        <w:numPr>
          <w:ilvl w:val="0"/>
          <w:numId w:val="19"/>
        </w:numPr>
        <w:spacing w:line="400" w:lineRule="exact"/>
        <w:ind w:leftChars="0" w:left="709" w:hanging="567"/>
        <w:jc w:val="both"/>
        <w:rPr>
          <w:rFonts w:eastAsia="標楷體"/>
          <w:color w:val="FF0000"/>
          <w:sz w:val="28"/>
          <w:szCs w:val="28"/>
        </w:rPr>
      </w:pPr>
      <w:r w:rsidRPr="0046549A">
        <w:rPr>
          <w:rFonts w:eastAsia="標楷體"/>
          <w:color w:val="FF0000"/>
          <w:sz w:val="28"/>
          <w:szCs w:val="28"/>
        </w:rPr>
        <w:t>關鍵績效指標</w:t>
      </w:r>
      <w:r>
        <w:rPr>
          <w:rFonts w:eastAsia="標楷體" w:hint="eastAsia"/>
          <w:color w:val="FF0000"/>
          <w:sz w:val="28"/>
          <w:szCs w:val="28"/>
        </w:rPr>
        <w:t>(</w:t>
      </w:r>
      <w:proofErr w:type="spellStart"/>
      <w:r w:rsidRPr="0046549A">
        <w:rPr>
          <w:rFonts w:eastAsia="標楷體" w:hint="eastAsia"/>
          <w:color w:val="FF0000"/>
          <w:sz w:val="28"/>
          <w:szCs w:val="28"/>
        </w:rPr>
        <w:t>KPI</w:t>
      </w:r>
      <w:proofErr w:type="spellEnd"/>
      <w:r>
        <w:rPr>
          <w:rFonts w:eastAsia="標楷體" w:hint="eastAsia"/>
          <w:color w:val="FF0000"/>
          <w:sz w:val="28"/>
          <w:szCs w:val="28"/>
        </w:rPr>
        <w:t>)</w:t>
      </w:r>
      <w:r w:rsidRPr="0046549A">
        <w:rPr>
          <w:rFonts w:eastAsia="標楷體"/>
          <w:color w:val="FF0000"/>
          <w:sz w:val="28"/>
          <w:szCs w:val="28"/>
        </w:rPr>
        <w:t>：</w:t>
      </w:r>
      <w:proofErr w:type="gramStart"/>
      <w:r w:rsidRPr="0046549A">
        <w:rPr>
          <w:rFonts w:eastAsia="標楷體"/>
          <w:color w:val="FF0000"/>
          <w:sz w:val="28"/>
          <w:szCs w:val="28"/>
        </w:rPr>
        <w:t>賡</w:t>
      </w:r>
      <w:proofErr w:type="gramEnd"/>
      <w:r w:rsidRPr="0046549A">
        <w:rPr>
          <w:rFonts w:eastAsia="標楷體"/>
          <w:color w:val="FF0000"/>
          <w:sz w:val="28"/>
          <w:szCs w:val="28"/>
        </w:rPr>
        <w:t>續推動性別主流化各項工具，並提升推動品質及擴大成效：</w:t>
      </w:r>
    </w:p>
    <w:tbl>
      <w:tblPr>
        <w:tblStyle w:val="ac"/>
        <w:tblW w:w="10065" w:type="dxa"/>
        <w:jc w:val="center"/>
        <w:tblLook w:val="04A0" w:firstRow="1" w:lastRow="0" w:firstColumn="1" w:lastColumn="0" w:noHBand="0" w:noVBand="1"/>
      </w:tblPr>
      <w:tblGrid>
        <w:gridCol w:w="562"/>
        <w:gridCol w:w="2052"/>
        <w:gridCol w:w="4620"/>
        <w:gridCol w:w="708"/>
        <w:gridCol w:w="708"/>
        <w:gridCol w:w="707"/>
        <w:gridCol w:w="708"/>
      </w:tblGrid>
      <w:tr w:rsidR="00E27AD4" w:rsidRPr="0046549A" w14:paraId="46981F19" w14:textId="77777777" w:rsidTr="009F51F3">
        <w:trPr>
          <w:trHeight w:val="384"/>
          <w:tblHeader/>
          <w:jc w:val="center"/>
        </w:trPr>
        <w:tc>
          <w:tcPr>
            <w:tcW w:w="562" w:type="dxa"/>
            <w:vMerge w:val="restart"/>
            <w:vAlign w:val="center"/>
          </w:tcPr>
          <w:p w14:paraId="685C1ACE"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序號</w:t>
            </w:r>
          </w:p>
        </w:tc>
        <w:tc>
          <w:tcPr>
            <w:tcW w:w="2052" w:type="dxa"/>
            <w:vMerge w:val="restart"/>
            <w:vAlign w:val="center"/>
          </w:tcPr>
          <w:p w14:paraId="307D38C3"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關鍵績效指標</w:t>
            </w:r>
          </w:p>
        </w:tc>
        <w:tc>
          <w:tcPr>
            <w:tcW w:w="4620" w:type="dxa"/>
            <w:vMerge w:val="restart"/>
            <w:vAlign w:val="center"/>
          </w:tcPr>
          <w:p w14:paraId="4EF76835"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衡量標準</w:t>
            </w:r>
          </w:p>
        </w:tc>
        <w:tc>
          <w:tcPr>
            <w:tcW w:w="2831" w:type="dxa"/>
            <w:gridSpan w:val="4"/>
            <w:vAlign w:val="center"/>
          </w:tcPr>
          <w:p w14:paraId="04658B28"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年度目標值</w:t>
            </w:r>
          </w:p>
        </w:tc>
      </w:tr>
      <w:tr w:rsidR="00E27AD4" w:rsidRPr="0046549A" w14:paraId="4612BD00" w14:textId="77777777" w:rsidTr="009F51F3">
        <w:trPr>
          <w:trHeight w:val="354"/>
          <w:tblHeader/>
          <w:jc w:val="center"/>
        </w:trPr>
        <w:tc>
          <w:tcPr>
            <w:tcW w:w="562" w:type="dxa"/>
            <w:vMerge/>
            <w:vAlign w:val="center"/>
          </w:tcPr>
          <w:p w14:paraId="54EDEA4E"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p>
        </w:tc>
        <w:tc>
          <w:tcPr>
            <w:tcW w:w="2052" w:type="dxa"/>
            <w:vMerge/>
            <w:vAlign w:val="center"/>
          </w:tcPr>
          <w:p w14:paraId="4642A593"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p>
        </w:tc>
        <w:tc>
          <w:tcPr>
            <w:tcW w:w="4620" w:type="dxa"/>
            <w:vMerge/>
            <w:vAlign w:val="center"/>
          </w:tcPr>
          <w:p w14:paraId="05D6E02F"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p>
        </w:tc>
        <w:tc>
          <w:tcPr>
            <w:tcW w:w="708" w:type="dxa"/>
            <w:vAlign w:val="center"/>
          </w:tcPr>
          <w:p w14:paraId="1F630E25" w14:textId="77777777" w:rsidR="00E27AD4" w:rsidRPr="0046549A" w:rsidRDefault="00E27AD4" w:rsidP="009F51F3">
            <w:pPr>
              <w:adjustRightInd w:val="0"/>
              <w:snapToGrid w:val="0"/>
              <w:spacing w:line="400" w:lineRule="atLeast"/>
              <w:ind w:leftChars="-43" w:left="-103" w:rightChars="-62" w:right="-149"/>
              <w:jc w:val="center"/>
              <w:rPr>
                <w:rFonts w:ascii="Times New Roman" w:eastAsia="標楷體" w:hAnsi="Times New Roman"/>
                <w:color w:val="FF0000"/>
                <w:sz w:val="26"/>
                <w:szCs w:val="26"/>
              </w:rPr>
            </w:pPr>
            <w:r w:rsidRPr="0046549A">
              <w:rPr>
                <w:rFonts w:ascii="Times New Roman" w:eastAsia="標楷體" w:hAnsi="Times New Roman"/>
                <w:color w:val="FF0000"/>
                <w:sz w:val="26"/>
                <w:szCs w:val="26"/>
              </w:rPr>
              <w:t>1</w:t>
            </w:r>
            <w:r w:rsidRPr="0046549A">
              <w:rPr>
                <w:rFonts w:ascii="Times New Roman" w:eastAsia="標楷體" w:hAnsi="Times New Roman" w:hint="eastAsia"/>
                <w:color w:val="FF0000"/>
                <w:sz w:val="26"/>
                <w:szCs w:val="26"/>
              </w:rPr>
              <w:t>12</w:t>
            </w:r>
            <w:r w:rsidRPr="0046549A">
              <w:rPr>
                <w:rFonts w:ascii="Times New Roman" w:eastAsia="標楷體" w:hAnsi="Times New Roman"/>
                <w:color w:val="FF0000"/>
                <w:sz w:val="26"/>
                <w:szCs w:val="26"/>
              </w:rPr>
              <w:t>年</w:t>
            </w:r>
          </w:p>
        </w:tc>
        <w:tc>
          <w:tcPr>
            <w:tcW w:w="708" w:type="dxa"/>
            <w:vAlign w:val="center"/>
          </w:tcPr>
          <w:p w14:paraId="36225538" w14:textId="77777777" w:rsidR="00E27AD4" w:rsidRPr="0046549A" w:rsidRDefault="00E27AD4" w:rsidP="009F51F3">
            <w:pPr>
              <w:adjustRightInd w:val="0"/>
              <w:snapToGrid w:val="0"/>
              <w:spacing w:line="400" w:lineRule="atLeast"/>
              <w:ind w:leftChars="-47" w:left="-113" w:rightChars="-47" w:right="-113"/>
              <w:jc w:val="center"/>
              <w:rPr>
                <w:rFonts w:ascii="Times New Roman" w:eastAsia="標楷體" w:hAnsi="Times New Roman"/>
                <w:color w:val="FF0000"/>
                <w:sz w:val="26"/>
                <w:szCs w:val="26"/>
              </w:rPr>
            </w:pPr>
            <w:r w:rsidRPr="0046549A">
              <w:rPr>
                <w:rFonts w:ascii="Times New Roman" w:eastAsia="標楷體" w:hAnsi="Times New Roman"/>
                <w:color w:val="FF0000"/>
                <w:sz w:val="26"/>
                <w:szCs w:val="26"/>
              </w:rPr>
              <w:t>1</w:t>
            </w:r>
            <w:r w:rsidRPr="0046549A">
              <w:rPr>
                <w:rFonts w:ascii="Times New Roman" w:eastAsia="標楷體" w:hAnsi="Times New Roman" w:hint="eastAsia"/>
                <w:color w:val="FF0000"/>
                <w:sz w:val="26"/>
                <w:szCs w:val="26"/>
              </w:rPr>
              <w:t>13</w:t>
            </w:r>
            <w:r w:rsidRPr="0046549A">
              <w:rPr>
                <w:rFonts w:ascii="Times New Roman" w:eastAsia="標楷體" w:hAnsi="Times New Roman"/>
                <w:color w:val="FF0000"/>
                <w:sz w:val="26"/>
                <w:szCs w:val="26"/>
              </w:rPr>
              <w:t>年</w:t>
            </w:r>
          </w:p>
        </w:tc>
        <w:tc>
          <w:tcPr>
            <w:tcW w:w="707" w:type="dxa"/>
            <w:vAlign w:val="center"/>
          </w:tcPr>
          <w:p w14:paraId="5E2C0C86" w14:textId="77777777" w:rsidR="00E27AD4" w:rsidRPr="0046549A" w:rsidRDefault="00E27AD4" w:rsidP="009F51F3">
            <w:pPr>
              <w:adjustRightInd w:val="0"/>
              <w:snapToGrid w:val="0"/>
              <w:spacing w:line="400" w:lineRule="atLeast"/>
              <w:ind w:leftChars="-45" w:left="-108" w:rightChars="-50" w:right="-120"/>
              <w:jc w:val="center"/>
              <w:rPr>
                <w:rFonts w:ascii="Times New Roman" w:eastAsia="標楷體" w:hAnsi="Times New Roman"/>
                <w:color w:val="FF0000"/>
                <w:sz w:val="26"/>
                <w:szCs w:val="26"/>
              </w:rPr>
            </w:pPr>
            <w:r w:rsidRPr="0046549A">
              <w:rPr>
                <w:rFonts w:ascii="Times New Roman" w:eastAsia="標楷體" w:hAnsi="Times New Roman"/>
                <w:color w:val="FF0000"/>
                <w:sz w:val="26"/>
                <w:szCs w:val="26"/>
              </w:rPr>
              <w:t>1</w:t>
            </w:r>
            <w:r w:rsidRPr="0046549A">
              <w:rPr>
                <w:rFonts w:ascii="Times New Roman" w:eastAsia="標楷體" w:hAnsi="Times New Roman" w:hint="eastAsia"/>
                <w:color w:val="FF0000"/>
                <w:sz w:val="26"/>
                <w:szCs w:val="26"/>
              </w:rPr>
              <w:t>14</w:t>
            </w:r>
            <w:r w:rsidRPr="0046549A">
              <w:rPr>
                <w:rFonts w:ascii="Times New Roman" w:eastAsia="標楷體" w:hAnsi="Times New Roman"/>
                <w:color w:val="FF0000"/>
                <w:sz w:val="26"/>
                <w:szCs w:val="26"/>
              </w:rPr>
              <w:t>年</w:t>
            </w:r>
          </w:p>
        </w:tc>
        <w:tc>
          <w:tcPr>
            <w:tcW w:w="708" w:type="dxa"/>
            <w:vAlign w:val="center"/>
          </w:tcPr>
          <w:p w14:paraId="5AE95FF2" w14:textId="77777777" w:rsidR="00E27AD4" w:rsidRPr="0046549A" w:rsidRDefault="00E27AD4" w:rsidP="009F51F3">
            <w:pPr>
              <w:adjustRightInd w:val="0"/>
              <w:snapToGrid w:val="0"/>
              <w:spacing w:line="400" w:lineRule="atLeast"/>
              <w:ind w:leftChars="-45" w:left="-108" w:rightChars="-46" w:right="-110"/>
              <w:jc w:val="center"/>
              <w:rPr>
                <w:rFonts w:ascii="Times New Roman" w:eastAsia="標楷體" w:hAnsi="Times New Roman"/>
                <w:color w:val="FF0000"/>
                <w:sz w:val="26"/>
                <w:szCs w:val="26"/>
              </w:rPr>
            </w:pPr>
            <w:r w:rsidRPr="0046549A">
              <w:rPr>
                <w:rFonts w:ascii="Times New Roman" w:eastAsia="標楷體" w:hAnsi="Times New Roman"/>
                <w:color w:val="FF0000"/>
                <w:sz w:val="26"/>
                <w:szCs w:val="26"/>
              </w:rPr>
              <w:t>1</w:t>
            </w:r>
            <w:r w:rsidRPr="0046549A">
              <w:rPr>
                <w:rFonts w:ascii="Times New Roman" w:eastAsia="標楷體" w:hAnsi="Times New Roman" w:hint="eastAsia"/>
                <w:color w:val="FF0000"/>
                <w:sz w:val="26"/>
                <w:szCs w:val="26"/>
              </w:rPr>
              <w:t>15</w:t>
            </w:r>
            <w:r w:rsidRPr="0046549A">
              <w:rPr>
                <w:rFonts w:ascii="Times New Roman" w:eastAsia="標楷體" w:hAnsi="Times New Roman"/>
                <w:color w:val="FF0000"/>
                <w:sz w:val="26"/>
                <w:szCs w:val="26"/>
              </w:rPr>
              <w:t>年</w:t>
            </w:r>
          </w:p>
        </w:tc>
      </w:tr>
      <w:tr w:rsidR="00E27AD4" w:rsidRPr="0046549A" w14:paraId="35648A25" w14:textId="77777777" w:rsidTr="009F51F3">
        <w:trPr>
          <w:trHeight w:val="1321"/>
          <w:jc w:val="center"/>
        </w:trPr>
        <w:tc>
          <w:tcPr>
            <w:tcW w:w="562" w:type="dxa"/>
            <w:vMerge w:val="restart"/>
            <w:vAlign w:val="center"/>
          </w:tcPr>
          <w:p w14:paraId="57E98D07"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1</w:t>
            </w:r>
          </w:p>
        </w:tc>
        <w:tc>
          <w:tcPr>
            <w:tcW w:w="2052" w:type="dxa"/>
            <w:vMerge w:val="restart"/>
            <w:vAlign w:val="center"/>
          </w:tcPr>
          <w:p w14:paraId="35D43231" w14:textId="77777777" w:rsidR="00E27AD4" w:rsidRPr="0046549A" w:rsidRDefault="00E27AD4" w:rsidP="009F51F3">
            <w:pPr>
              <w:pStyle w:val="21"/>
              <w:widowControl/>
              <w:adjustRightInd w:val="0"/>
              <w:snapToGrid w:val="0"/>
              <w:spacing w:line="400" w:lineRule="atLeast"/>
              <w:ind w:leftChars="0" w:left="560" w:hangingChars="200" w:hanging="560"/>
              <w:jc w:val="both"/>
              <w:rPr>
                <w:rFonts w:eastAsia="標楷體"/>
                <w:color w:val="FF0000"/>
                <w:sz w:val="28"/>
                <w:szCs w:val="28"/>
              </w:rPr>
            </w:pPr>
            <w:r w:rsidRPr="0046549A">
              <w:rPr>
                <w:rFonts w:eastAsia="標楷體"/>
                <w:color w:val="FF0000"/>
                <w:sz w:val="28"/>
                <w:szCs w:val="28"/>
              </w:rPr>
              <w:t>性別主流化訓</w:t>
            </w:r>
          </w:p>
          <w:p w14:paraId="289643D0" w14:textId="77777777" w:rsidR="00E27AD4" w:rsidRPr="0046549A" w:rsidRDefault="00E27AD4" w:rsidP="009F51F3">
            <w:pPr>
              <w:pStyle w:val="21"/>
              <w:widowControl/>
              <w:adjustRightInd w:val="0"/>
              <w:snapToGrid w:val="0"/>
              <w:spacing w:line="400" w:lineRule="atLeast"/>
              <w:ind w:leftChars="0" w:left="560" w:hangingChars="200" w:hanging="560"/>
              <w:jc w:val="both"/>
              <w:rPr>
                <w:rFonts w:eastAsia="標楷體"/>
                <w:color w:val="FF0000"/>
                <w:sz w:val="28"/>
                <w:szCs w:val="28"/>
              </w:rPr>
            </w:pPr>
            <w:proofErr w:type="gramStart"/>
            <w:r w:rsidRPr="0046549A">
              <w:rPr>
                <w:rFonts w:eastAsia="標楷體"/>
                <w:color w:val="FF0000"/>
                <w:sz w:val="28"/>
                <w:szCs w:val="28"/>
              </w:rPr>
              <w:t>練參訓</w:t>
            </w:r>
            <w:proofErr w:type="gramEnd"/>
            <w:r w:rsidRPr="0046549A">
              <w:rPr>
                <w:rFonts w:eastAsia="標楷體"/>
                <w:color w:val="FF0000"/>
                <w:sz w:val="28"/>
                <w:szCs w:val="28"/>
              </w:rPr>
              <w:t>率</w:t>
            </w:r>
            <w:r w:rsidRPr="0046549A">
              <w:rPr>
                <w:rFonts w:eastAsia="標楷體"/>
                <w:color w:val="FF0000"/>
                <w:sz w:val="28"/>
                <w:szCs w:val="28"/>
              </w:rPr>
              <w:t>(%)</w:t>
            </w:r>
          </w:p>
        </w:tc>
        <w:tc>
          <w:tcPr>
            <w:tcW w:w="4620" w:type="dxa"/>
          </w:tcPr>
          <w:p w14:paraId="27B45D61" w14:textId="77777777" w:rsidR="00E27AD4" w:rsidRPr="0046549A" w:rsidRDefault="00E27AD4" w:rsidP="009F51F3">
            <w:pPr>
              <w:adjustRightInd w:val="0"/>
              <w:snapToGrid w:val="0"/>
              <w:spacing w:line="320" w:lineRule="exact"/>
              <w:ind w:leftChars="15" w:left="36"/>
              <w:jc w:val="both"/>
              <w:rPr>
                <w:rFonts w:ascii="Times New Roman" w:eastAsia="標楷體" w:hAnsi="Times New Roman"/>
                <w:color w:val="FF0000"/>
                <w:sz w:val="28"/>
                <w:szCs w:val="28"/>
              </w:rPr>
            </w:pPr>
            <w:r w:rsidRPr="0046549A">
              <w:rPr>
                <w:rFonts w:ascii="Times New Roman" w:eastAsia="標楷體" w:hAnsi="Times New Roman"/>
                <w:color w:val="FF0000"/>
                <w:sz w:val="28"/>
                <w:szCs w:val="28"/>
              </w:rPr>
              <w:t>一般</w:t>
            </w:r>
            <w:proofErr w:type="gramStart"/>
            <w:r w:rsidRPr="0046549A">
              <w:rPr>
                <w:rFonts w:ascii="Times New Roman" w:eastAsia="標楷體" w:hAnsi="Times New Roman"/>
                <w:color w:val="FF0000"/>
                <w:sz w:val="28"/>
                <w:szCs w:val="28"/>
              </w:rPr>
              <w:t>公務人員參訓</w:t>
            </w:r>
            <w:r w:rsidRPr="0046549A">
              <w:rPr>
                <w:rFonts w:ascii="Times New Roman" w:eastAsia="標楷體" w:hAnsi="Times New Roman"/>
                <w:color w:val="FF0000"/>
                <w:sz w:val="28"/>
                <w:szCs w:val="28"/>
              </w:rPr>
              <w:t>2</w:t>
            </w:r>
            <w:r w:rsidRPr="0046549A">
              <w:rPr>
                <w:rFonts w:ascii="Times New Roman" w:eastAsia="標楷體" w:hAnsi="Times New Roman"/>
                <w:color w:val="FF0000"/>
                <w:sz w:val="28"/>
                <w:szCs w:val="28"/>
              </w:rPr>
              <w:t>小時</w:t>
            </w:r>
            <w:proofErr w:type="gramEnd"/>
            <w:r w:rsidRPr="0046549A">
              <w:rPr>
                <w:rFonts w:ascii="Times New Roman" w:eastAsia="標楷體" w:hAnsi="Times New Roman"/>
                <w:color w:val="FF0000"/>
                <w:sz w:val="28"/>
                <w:szCs w:val="28"/>
              </w:rPr>
              <w:t>以上比率</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一般</w:t>
            </w:r>
            <w:proofErr w:type="gramStart"/>
            <w:r w:rsidRPr="0046549A">
              <w:rPr>
                <w:rFonts w:ascii="Times New Roman" w:eastAsia="標楷體" w:hAnsi="Times New Roman"/>
                <w:color w:val="FF0000"/>
                <w:szCs w:val="28"/>
              </w:rPr>
              <w:t>公務人員參訓</w:t>
            </w:r>
            <w:r w:rsidRPr="0046549A">
              <w:rPr>
                <w:rFonts w:ascii="Times New Roman" w:eastAsia="標楷體" w:hAnsi="Times New Roman"/>
                <w:color w:val="FF0000"/>
                <w:szCs w:val="28"/>
              </w:rPr>
              <w:t>2</w:t>
            </w:r>
            <w:r w:rsidRPr="0046549A">
              <w:rPr>
                <w:rFonts w:ascii="Times New Roman" w:eastAsia="標楷體" w:hAnsi="Times New Roman"/>
                <w:color w:val="FF0000"/>
                <w:szCs w:val="28"/>
              </w:rPr>
              <w:t>小時</w:t>
            </w:r>
            <w:proofErr w:type="gramEnd"/>
            <w:r w:rsidRPr="0046549A">
              <w:rPr>
                <w:rFonts w:ascii="Times New Roman" w:eastAsia="標楷體" w:hAnsi="Times New Roman"/>
                <w:color w:val="FF0000"/>
                <w:szCs w:val="28"/>
              </w:rPr>
              <w:t>以上人數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一般公務人員總人數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sym w:font="Wingdings 2" w:char="F0CD"/>
            </w:r>
            <w:r w:rsidRPr="0046549A">
              <w:rPr>
                <w:rFonts w:ascii="Times New Roman" w:eastAsia="標楷體" w:hAnsi="Times New Roman"/>
                <w:color w:val="FF0000"/>
                <w:szCs w:val="28"/>
              </w:rPr>
              <w:t>100%</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包含基礎及進階課程</w:t>
            </w:r>
            <w:r w:rsidRPr="0046549A">
              <w:rPr>
                <w:rFonts w:ascii="Times New Roman" w:eastAsia="標楷體" w:hAnsi="Times New Roman"/>
                <w:color w:val="FF0000"/>
                <w:szCs w:val="28"/>
              </w:rPr>
              <w:t>)</w:t>
            </w:r>
            <w:r w:rsidRPr="0046549A">
              <w:rPr>
                <w:rFonts w:ascii="Times New Roman" w:eastAsia="標楷體" w:hAnsi="Times New Roman"/>
                <w:color w:val="FF0000"/>
                <w:sz w:val="28"/>
                <w:szCs w:val="28"/>
              </w:rPr>
              <w:t>。</w:t>
            </w:r>
            <w:proofErr w:type="gramStart"/>
            <w:r w:rsidRPr="0046549A">
              <w:rPr>
                <w:rFonts w:ascii="Times New Roman" w:eastAsia="標楷體" w:hAnsi="Times New Roman"/>
                <w:color w:val="FF0000"/>
                <w:sz w:val="28"/>
                <w:szCs w:val="28"/>
              </w:rPr>
              <w:t>註</w:t>
            </w:r>
            <w:proofErr w:type="gramEnd"/>
            <w:r w:rsidRPr="0046549A">
              <w:rPr>
                <w:rFonts w:ascii="Times New Roman" w:eastAsia="標楷體" w:hAnsi="Times New Roman"/>
                <w:color w:val="FF0000"/>
                <w:sz w:val="28"/>
                <w:szCs w:val="28"/>
              </w:rPr>
              <w:t>1</w:t>
            </w:r>
          </w:p>
        </w:tc>
        <w:tc>
          <w:tcPr>
            <w:tcW w:w="708" w:type="dxa"/>
            <w:vAlign w:val="center"/>
          </w:tcPr>
          <w:p w14:paraId="4D6F0B68"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92%</w:t>
            </w:r>
          </w:p>
        </w:tc>
        <w:tc>
          <w:tcPr>
            <w:tcW w:w="708" w:type="dxa"/>
            <w:vAlign w:val="center"/>
          </w:tcPr>
          <w:p w14:paraId="38158553" w14:textId="77777777" w:rsidR="00E27AD4" w:rsidRPr="0046549A" w:rsidRDefault="00E27AD4" w:rsidP="009F51F3">
            <w:pPr>
              <w:adjustRightInd w:val="0"/>
              <w:snapToGrid w:val="0"/>
              <w:spacing w:line="400" w:lineRule="atLeast"/>
              <w:ind w:leftChars="-47" w:left="-113" w:rightChars="-47" w:right="-113"/>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93%</w:t>
            </w:r>
          </w:p>
        </w:tc>
        <w:tc>
          <w:tcPr>
            <w:tcW w:w="707" w:type="dxa"/>
            <w:vAlign w:val="center"/>
          </w:tcPr>
          <w:p w14:paraId="2CA89440" w14:textId="77777777" w:rsidR="00E27AD4" w:rsidRPr="0046549A" w:rsidRDefault="00E27AD4" w:rsidP="009F51F3">
            <w:pPr>
              <w:adjustRightInd w:val="0"/>
              <w:snapToGrid w:val="0"/>
              <w:spacing w:line="400" w:lineRule="atLeast"/>
              <w:ind w:leftChars="-45" w:left="-108" w:rightChars="-42" w:right="-101"/>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94%</w:t>
            </w:r>
          </w:p>
        </w:tc>
        <w:tc>
          <w:tcPr>
            <w:tcW w:w="708" w:type="dxa"/>
            <w:vAlign w:val="center"/>
          </w:tcPr>
          <w:p w14:paraId="5A4C1F95" w14:textId="77777777" w:rsidR="00E27AD4" w:rsidRPr="0046549A" w:rsidRDefault="00E27AD4" w:rsidP="009F51F3">
            <w:pPr>
              <w:adjustRightInd w:val="0"/>
              <w:snapToGrid w:val="0"/>
              <w:spacing w:line="400" w:lineRule="atLeast"/>
              <w:ind w:leftChars="-45" w:left="-108" w:rightChars="-42" w:right="-101"/>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95%</w:t>
            </w:r>
          </w:p>
        </w:tc>
      </w:tr>
      <w:tr w:rsidR="00E27AD4" w:rsidRPr="0046549A" w14:paraId="5212EF5E" w14:textId="77777777" w:rsidTr="009F51F3">
        <w:trPr>
          <w:trHeight w:val="869"/>
          <w:jc w:val="center"/>
        </w:trPr>
        <w:tc>
          <w:tcPr>
            <w:tcW w:w="562" w:type="dxa"/>
            <w:vMerge/>
            <w:vAlign w:val="center"/>
          </w:tcPr>
          <w:p w14:paraId="6D14804F" w14:textId="77777777" w:rsidR="00E27AD4" w:rsidRPr="0046549A" w:rsidRDefault="00E27AD4" w:rsidP="009F51F3">
            <w:pPr>
              <w:adjustRightInd w:val="0"/>
              <w:snapToGrid w:val="0"/>
              <w:spacing w:line="400" w:lineRule="atLeast"/>
              <w:rPr>
                <w:rFonts w:ascii="Times New Roman" w:eastAsia="標楷體" w:hAnsi="Times New Roman"/>
                <w:color w:val="FF0000"/>
                <w:sz w:val="28"/>
                <w:szCs w:val="28"/>
              </w:rPr>
            </w:pPr>
          </w:p>
        </w:tc>
        <w:tc>
          <w:tcPr>
            <w:tcW w:w="2052" w:type="dxa"/>
            <w:vMerge/>
            <w:vAlign w:val="center"/>
          </w:tcPr>
          <w:p w14:paraId="468B52DB" w14:textId="77777777" w:rsidR="00E27AD4" w:rsidRPr="0046549A" w:rsidRDefault="00E27AD4" w:rsidP="009F51F3">
            <w:pPr>
              <w:pStyle w:val="21"/>
              <w:widowControl/>
              <w:adjustRightInd w:val="0"/>
              <w:snapToGrid w:val="0"/>
              <w:spacing w:line="400" w:lineRule="atLeast"/>
              <w:ind w:leftChars="0" w:left="560" w:hangingChars="200" w:hanging="560"/>
              <w:jc w:val="both"/>
              <w:rPr>
                <w:rFonts w:eastAsia="標楷體"/>
                <w:color w:val="FF0000"/>
                <w:sz w:val="28"/>
                <w:szCs w:val="28"/>
              </w:rPr>
            </w:pPr>
          </w:p>
        </w:tc>
        <w:tc>
          <w:tcPr>
            <w:tcW w:w="4620" w:type="dxa"/>
          </w:tcPr>
          <w:p w14:paraId="69F674A5" w14:textId="77777777" w:rsidR="00E27AD4" w:rsidRPr="0046549A" w:rsidRDefault="00E27AD4" w:rsidP="009F51F3">
            <w:pPr>
              <w:adjustRightInd w:val="0"/>
              <w:snapToGrid w:val="0"/>
              <w:spacing w:line="320" w:lineRule="exact"/>
              <w:ind w:leftChars="15" w:left="36"/>
              <w:jc w:val="both"/>
              <w:rPr>
                <w:rFonts w:ascii="Times New Roman" w:eastAsia="標楷體" w:hAnsi="Times New Roman"/>
                <w:color w:val="FF0000"/>
                <w:sz w:val="28"/>
                <w:szCs w:val="28"/>
              </w:rPr>
            </w:pPr>
            <w:r w:rsidRPr="0046549A">
              <w:rPr>
                <w:rFonts w:ascii="Times New Roman" w:eastAsia="標楷體" w:hAnsi="Times New Roman"/>
                <w:color w:val="FF0000"/>
                <w:sz w:val="28"/>
                <w:szCs w:val="28"/>
              </w:rPr>
              <w:t>主管</w:t>
            </w:r>
            <w:proofErr w:type="gramStart"/>
            <w:r w:rsidRPr="0046549A">
              <w:rPr>
                <w:rFonts w:ascii="Times New Roman" w:eastAsia="標楷體" w:hAnsi="Times New Roman"/>
                <w:color w:val="FF0000"/>
                <w:sz w:val="28"/>
                <w:szCs w:val="28"/>
              </w:rPr>
              <w:t>人員參訓</w:t>
            </w:r>
            <w:r w:rsidRPr="0046549A">
              <w:rPr>
                <w:rFonts w:ascii="Times New Roman" w:eastAsia="標楷體" w:hAnsi="Times New Roman"/>
                <w:color w:val="FF0000"/>
                <w:sz w:val="28"/>
                <w:szCs w:val="28"/>
              </w:rPr>
              <w:t>2</w:t>
            </w:r>
            <w:r w:rsidRPr="0046549A">
              <w:rPr>
                <w:rFonts w:ascii="Times New Roman" w:eastAsia="標楷體" w:hAnsi="Times New Roman"/>
                <w:color w:val="FF0000"/>
                <w:sz w:val="28"/>
                <w:szCs w:val="28"/>
              </w:rPr>
              <w:t>小時</w:t>
            </w:r>
            <w:proofErr w:type="gramEnd"/>
            <w:r w:rsidRPr="0046549A">
              <w:rPr>
                <w:rFonts w:ascii="Times New Roman" w:eastAsia="標楷體" w:hAnsi="Times New Roman"/>
                <w:color w:val="FF0000"/>
                <w:sz w:val="28"/>
                <w:szCs w:val="28"/>
              </w:rPr>
              <w:t>以上比率</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主管</w:t>
            </w:r>
            <w:proofErr w:type="gramStart"/>
            <w:r w:rsidRPr="0046549A">
              <w:rPr>
                <w:rFonts w:ascii="Times New Roman" w:eastAsia="標楷體" w:hAnsi="Times New Roman"/>
                <w:color w:val="FF0000"/>
                <w:szCs w:val="28"/>
              </w:rPr>
              <w:t>人員參訓</w:t>
            </w:r>
            <w:r w:rsidRPr="0046549A">
              <w:rPr>
                <w:rFonts w:ascii="Times New Roman" w:eastAsia="標楷體" w:hAnsi="Times New Roman"/>
                <w:color w:val="FF0000"/>
                <w:szCs w:val="28"/>
              </w:rPr>
              <w:t>2</w:t>
            </w:r>
            <w:r w:rsidRPr="0046549A">
              <w:rPr>
                <w:rFonts w:ascii="Times New Roman" w:eastAsia="標楷體" w:hAnsi="Times New Roman"/>
                <w:color w:val="FF0000"/>
                <w:szCs w:val="28"/>
              </w:rPr>
              <w:t>小時</w:t>
            </w:r>
            <w:proofErr w:type="gramEnd"/>
            <w:r w:rsidRPr="0046549A">
              <w:rPr>
                <w:rFonts w:ascii="Times New Roman" w:eastAsia="標楷體" w:hAnsi="Times New Roman"/>
                <w:color w:val="FF0000"/>
                <w:szCs w:val="28"/>
              </w:rPr>
              <w:t>以上人數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主管人員總人數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sym w:font="Wingdings 2" w:char="F0CD"/>
            </w:r>
            <w:r w:rsidRPr="0046549A">
              <w:rPr>
                <w:rFonts w:ascii="Times New Roman" w:eastAsia="標楷體" w:hAnsi="Times New Roman"/>
                <w:color w:val="FF0000"/>
                <w:szCs w:val="28"/>
              </w:rPr>
              <w:t>100%</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包含基礎及進階課程</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w:t>
            </w:r>
            <w:proofErr w:type="gramStart"/>
            <w:r w:rsidRPr="0046549A">
              <w:rPr>
                <w:rFonts w:ascii="Times New Roman" w:eastAsia="標楷體" w:hAnsi="Times New Roman"/>
                <w:color w:val="FF0000"/>
                <w:sz w:val="28"/>
                <w:szCs w:val="28"/>
              </w:rPr>
              <w:t>註</w:t>
            </w:r>
            <w:proofErr w:type="gramEnd"/>
            <w:r w:rsidRPr="0046549A">
              <w:rPr>
                <w:rFonts w:ascii="Times New Roman" w:eastAsia="標楷體" w:hAnsi="Times New Roman"/>
                <w:color w:val="FF0000"/>
                <w:sz w:val="28"/>
                <w:szCs w:val="28"/>
              </w:rPr>
              <w:t>2</w:t>
            </w:r>
          </w:p>
        </w:tc>
        <w:tc>
          <w:tcPr>
            <w:tcW w:w="708" w:type="dxa"/>
            <w:vAlign w:val="center"/>
          </w:tcPr>
          <w:p w14:paraId="2EE5DD05"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92%</w:t>
            </w:r>
          </w:p>
        </w:tc>
        <w:tc>
          <w:tcPr>
            <w:tcW w:w="708" w:type="dxa"/>
            <w:vAlign w:val="center"/>
          </w:tcPr>
          <w:p w14:paraId="435CE50E" w14:textId="77777777" w:rsidR="00E27AD4" w:rsidRPr="0046549A" w:rsidRDefault="00E27AD4" w:rsidP="009F51F3">
            <w:pPr>
              <w:adjustRightInd w:val="0"/>
              <w:snapToGrid w:val="0"/>
              <w:spacing w:line="400" w:lineRule="atLeast"/>
              <w:ind w:leftChars="-47" w:left="-113" w:rightChars="-47" w:right="-113"/>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93%</w:t>
            </w:r>
          </w:p>
        </w:tc>
        <w:tc>
          <w:tcPr>
            <w:tcW w:w="707" w:type="dxa"/>
            <w:vAlign w:val="center"/>
          </w:tcPr>
          <w:p w14:paraId="5DCC1490" w14:textId="77777777" w:rsidR="00E27AD4" w:rsidRPr="0046549A" w:rsidRDefault="00E27AD4" w:rsidP="009F51F3">
            <w:pPr>
              <w:adjustRightInd w:val="0"/>
              <w:snapToGrid w:val="0"/>
              <w:spacing w:line="400" w:lineRule="atLeast"/>
              <w:ind w:leftChars="-45" w:left="-108" w:rightChars="-42" w:right="-101"/>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94%</w:t>
            </w:r>
          </w:p>
        </w:tc>
        <w:tc>
          <w:tcPr>
            <w:tcW w:w="708" w:type="dxa"/>
            <w:vAlign w:val="center"/>
          </w:tcPr>
          <w:p w14:paraId="793DC747" w14:textId="77777777" w:rsidR="00E27AD4" w:rsidRPr="0046549A" w:rsidRDefault="00E27AD4" w:rsidP="009F51F3">
            <w:pPr>
              <w:adjustRightInd w:val="0"/>
              <w:snapToGrid w:val="0"/>
              <w:spacing w:line="400" w:lineRule="atLeast"/>
              <w:ind w:leftChars="-45" w:left="-108" w:rightChars="-42" w:right="-101"/>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95%</w:t>
            </w:r>
          </w:p>
        </w:tc>
      </w:tr>
      <w:tr w:rsidR="00E27AD4" w:rsidRPr="0046549A" w14:paraId="7711B7C8" w14:textId="77777777" w:rsidTr="009F51F3">
        <w:trPr>
          <w:trHeight w:val="869"/>
          <w:jc w:val="center"/>
        </w:trPr>
        <w:tc>
          <w:tcPr>
            <w:tcW w:w="562" w:type="dxa"/>
            <w:vMerge/>
            <w:vAlign w:val="center"/>
          </w:tcPr>
          <w:p w14:paraId="3B75DDAA"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p>
        </w:tc>
        <w:tc>
          <w:tcPr>
            <w:tcW w:w="2052" w:type="dxa"/>
            <w:vMerge/>
            <w:vAlign w:val="center"/>
          </w:tcPr>
          <w:p w14:paraId="33C5878B" w14:textId="77777777" w:rsidR="00E27AD4" w:rsidRPr="0046549A" w:rsidRDefault="00E27AD4" w:rsidP="009F51F3">
            <w:pPr>
              <w:pStyle w:val="21"/>
              <w:adjustRightInd w:val="0"/>
              <w:snapToGrid w:val="0"/>
              <w:spacing w:line="400" w:lineRule="atLeast"/>
              <w:ind w:leftChars="0" w:left="0"/>
              <w:jc w:val="both"/>
              <w:rPr>
                <w:rFonts w:eastAsia="標楷體"/>
                <w:color w:val="FF0000"/>
                <w:sz w:val="28"/>
                <w:szCs w:val="28"/>
              </w:rPr>
            </w:pPr>
          </w:p>
        </w:tc>
        <w:tc>
          <w:tcPr>
            <w:tcW w:w="4620" w:type="dxa"/>
          </w:tcPr>
          <w:p w14:paraId="3BEDAF98" w14:textId="77777777" w:rsidR="00E27AD4" w:rsidRPr="0046549A" w:rsidRDefault="00E27AD4" w:rsidP="009F51F3">
            <w:pPr>
              <w:adjustRightInd w:val="0"/>
              <w:snapToGrid w:val="0"/>
              <w:spacing w:line="320" w:lineRule="exact"/>
              <w:ind w:leftChars="15" w:left="36"/>
              <w:jc w:val="both"/>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性別平等業務</w:t>
            </w:r>
            <w:proofErr w:type="gramStart"/>
            <w:r w:rsidRPr="0046549A">
              <w:rPr>
                <w:rFonts w:ascii="Times New Roman" w:eastAsia="標楷體" w:hAnsi="Times New Roman" w:hint="eastAsia"/>
                <w:color w:val="FF0000"/>
                <w:sz w:val="28"/>
                <w:szCs w:val="28"/>
              </w:rPr>
              <w:t>人員參訓</w:t>
            </w:r>
            <w:r>
              <w:rPr>
                <w:rFonts w:ascii="Times New Roman" w:eastAsia="標楷體" w:hAnsi="Times New Roman" w:hint="eastAsia"/>
                <w:color w:val="FF0000"/>
                <w:sz w:val="28"/>
                <w:szCs w:val="28"/>
              </w:rPr>
              <w:t>10</w:t>
            </w:r>
            <w:r w:rsidRPr="0046549A">
              <w:rPr>
                <w:rFonts w:ascii="Times New Roman" w:eastAsia="標楷體" w:hAnsi="Times New Roman" w:hint="eastAsia"/>
                <w:color w:val="FF0000"/>
                <w:sz w:val="28"/>
                <w:szCs w:val="28"/>
              </w:rPr>
              <w:t>小時</w:t>
            </w:r>
            <w:proofErr w:type="gramEnd"/>
            <w:r w:rsidRPr="0046549A">
              <w:rPr>
                <w:rFonts w:ascii="Times New Roman" w:eastAsia="標楷體" w:hAnsi="Times New Roman" w:hint="eastAsia"/>
                <w:color w:val="FF0000"/>
                <w:sz w:val="28"/>
                <w:szCs w:val="28"/>
              </w:rPr>
              <w:t>以上比率</w:t>
            </w:r>
            <w:r w:rsidRPr="0046549A">
              <w:rPr>
                <w:rFonts w:ascii="Times New Roman" w:eastAsia="標楷體" w:hAnsi="Times New Roman" w:hint="eastAsia"/>
                <w:color w:val="FF0000"/>
                <w:szCs w:val="28"/>
              </w:rPr>
              <w:t>(</w:t>
            </w:r>
            <w:r w:rsidRPr="0046549A">
              <w:rPr>
                <w:rFonts w:ascii="Times New Roman" w:eastAsia="標楷體" w:hAnsi="Times New Roman" w:hint="eastAsia"/>
                <w:color w:val="FF0000"/>
                <w:szCs w:val="28"/>
              </w:rPr>
              <w:t>性別平等業務</w:t>
            </w:r>
            <w:proofErr w:type="gramStart"/>
            <w:r w:rsidRPr="0046549A">
              <w:rPr>
                <w:rFonts w:ascii="Times New Roman" w:eastAsia="標楷體" w:hAnsi="Times New Roman" w:hint="eastAsia"/>
                <w:color w:val="FF0000"/>
                <w:szCs w:val="28"/>
              </w:rPr>
              <w:t>人員參訓</w:t>
            </w:r>
            <w:r>
              <w:rPr>
                <w:rFonts w:ascii="Times New Roman" w:eastAsia="標楷體" w:hAnsi="Times New Roman" w:hint="eastAsia"/>
                <w:color w:val="FF0000"/>
                <w:szCs w:val="28"/>
              </w:rPr>
              <w:t>10</w:t>
            </w:r>
            <w:r w:rsidRPr="0046549A">
              <w:rPr>
                <w:rFonts w:ascii="Times New Roman" w:eastAsia="標楷體" w:hAnsi="Times New Roman" w:hint="eastAsia"/>
                <w:color w:val="FF0000"/>
                <w:szCs w:val="28"/>
              </w:rPr>
              <w:t>小時</w:t>
            </w:r>
            <w:proofErr w:type="gramEnd"/>
            <w:r w:rsidRPr="0046549A">
              <w:rPr>
                <w:rFonts w:ascii="Times New Roman" w:eastAsia="標楷體" w:hAnsi="Times New Roman" w:hint="eastAsia"/>
                <w:color w:val="FF0000"/>
                <w:szCs w:val="28"/>
              </w:rPr>
              <w:t>以上人數</w:t>
            </w:r>
            <w:r w:rsidRPr="0046549A">
              <w:rPr>
                <w:rFonts w:ascii="Times New Roman" w:eastAsia="標楷體" w:hAnsi="Times New Roman" w:hint="eastAsia"/>
                <w:color w:val="FF0000"/>
                <w:szCs w:val="28"/>
              </w:rPr>
              <w:t>/</w:t>
            </w:r>
            <w:r w:rsidRPr="0046549A">
              <w:rPr>
                <w:rFonts w:ascii="Times New Roman" w:eastAsia="標楷體" w:hAnsi="Times New Roman" w:hint="eastAsia"/>
                <w:color w:val="FF0000"/>
                <w:szCs w:val="28"/>
              </w:rPr>
              <w:t>性別平等業務人員總人數</w:t>
            </w:r>
            <w:r w:rsidRPr="0046549A">
              <w:rPr>
                <w:rFonts w:ascii="Times New Roman" w:eastAsia="標楷體" w:hAnsi="Times New Roman" w:hint="eastAsia"/>
                <w:color w:val="FF0000"/>
                <w:szCs w:val="28"/>
              </w:rPr>
              <w:t>)</w:t>
            </w:r>
            <w:r w:rsidRPr="0046549A">
              <w:rPr>
                <w:rFonts w:ascii="Times New Roman" w:eastAsia="標楷體" w:hAnsi="Times New Roman"/>
                <w:color w:val="FF0000"/>
                <w:szCs w:val="28"/>
              </w:rPr>
              <w:t xml:space="preserve"> </w:t>
            </w:r>
            <w:r w:rsidRPr="0046549A">
              <w:rPr>
                <w:rFonts w:ascii="Times New Roman" w:eastAsia="標楷體" w:hAnsi="Times New Roman"/>
                <w:color w:val="FF0000"/>
                <w:szCs w:val="28"/>
              </w:rPr>
              <w:sym w:font="Wingdings 2" w:char="F0CD"/>
            </w:r>
            <w:r w:rsidRPr="0046549A">
              <w:rPr>
                <w:rFonts w:ascii="Times New Roman" w:eastAsia="標楷體" w:hAnsi="Times New Roman"/>
                <w:color w:val="FF0000"/>
                <w:szCs w:val="28"/>
              </w:rPr>
              <w:t>100%</w:t>
            </w:r>
            <w:r w:rsidRPr="0046549A">
              <w:rPr>
                <w:rFonts w:ascii="Times New Roman" w:eastAsia="標楷體" w:hAnsi="Times New Roman"/>
                <w:color w:val="FF0000"/>
                <w:szCs w:val="28"/>
              </w:rPr>
              <w:t>。</w:t>
            </w:r>
          </w:p>
        </w:tc>
        <w:tc>
          <w:tcPr>
            <w:tcW w:w="708" w:type="dxa"/>
            <w:vAlign w:val="center"/>
          </w:tcPr>
          <w:p w14:paraId="28763ABA"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90%</w:t>
            </w:r>
          </w:p>
        </w:tc>
        <w:tc>
          <w:tcPr>
            <w:tcW w:w="708" w:type="dxa"/>
            <w:vAlign w:val="center"/>
          </w:tcPr>
          <w:p w14:paraId="5AB7C99C" w14:textId="77777777" w:rsidR="00E27AD4" w:rsidRPr="0046549A" w:rsidRDefault="00E27AD4" w:rsidP="009F51F3">
            <w:pPr>
              <w:ind w:leftChars="-47" w:left="-113" w:rightChars="-47" w:right="-113"/>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92%</w:t>
            </w:r>
          </w:p>
        </w:tc>
        <w:tc>
          <w:tcPr>
            <w:tcW w:w="707" w:type="dxa"/>
            <w:vAlign w:val="center"/>
          </w:tcPr>
          <w:p w14:paraId="57BE4FEB" w14:textId="77777777" w:rsidR="00E27AD4" w:rsidRPr="0046549A" w:rsidRDefault="00E27AD4" w:rsidP="009F51F3">
            <w:pPr>
              <w:ind w:leftChars="-45" w:left="-108" w:rightChars="-42" w:right="-101"/>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94%</w:t>
            </w:r>
          </w:p>
        </w:tc>
        <w:tc>
          <w:tcPr>
            <w:tcW w:w="708" w:type="dxa"/>
            <w:vAlign w:val="center"/>
          </w:tcPr>
          <w:p w14:paraId="3B0CD9F1" w14:textId="77777777" w:rsidR="00E27AD4" w:rsidRPr="0046549A" w:rsidRDefault="00E27AD4" w:rsidP="009F51F3">
            <w:pPr>
              <w:ind w:leftChars="-45" w:left="-108" w:rightChars="-42" w:right="-101"/>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96%</w:t>
            </w:r>
          </w:p>
        </w:tc>
      </w:tr>
      <w:tr w:rsidR="00E27AD4" w:rsidRPr="0046549A" w14:paraId="7A52831F" w14:textId="77777777" w:rsidTr="009F51F3">
        <w:trPr>
          <w:trHeight w:val="869"/>
          <w:jc w:val="center"/>
        </w:trPr>
        <w:tc>
          <w:tcPr>
            <w:tcW w:w="562" w:type="dxa"/>
            <w:vMerge w:val="restart"/>
            <w:vAlign w:val="center"/>
          </w:tcPr>
          <w:p w14:paraId="7DC46D90"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r w:rsidRPr="0046549A">
              <w:rPr>
                <w:rFonts w:ascii="Times New Roman" w:eastAsia="標楷體" w:hAnsi="Times New Roman"/>
                <w:color w:val="FF0000"/>
                <w:sz w:val="28"/>
                <w:szCs w:val="28"/>
              </w:rPr>
              <w:t>2</w:t>
            </w:r>
          </w:p>
        </w:tc>
        <w:tc>
          <w:tcPr>
            <w:tcW w:w="2052" w:type="dxa"/>
            <w:vMerge w:val="restart"/>
            <w:vAlign w:val="center"/>
          </w:tcPr>
          <w:p w14:paraId="73AC1B87" w14:textId="77777777" w:rsidR="00E27AD4" w:rsidRPr="0046549A" w:rsidRDefault="00E27AD4" w:rsidP="009F51F3">
            <w:pPr>
              <w:pStyle w:val="21"/>
              <w:adjustRightInd w:val="0"/>
              <w:snapToGrid w:val="0"/>
              <w:spacing w:line="400" w:lineRule="atLeast"/>
              <w:ind w:leftChars="0" w:left="0"/>
              <w:jc w:val="both"/>
              <w:rPr>
                <w:rFonts w:eastAsia="標楷體"/>
                <w:color w:val="FF0000"/>
                <w:sz w:val="28"/>
                <w:szCs w:val="28"/>
              </w:rPr>
            </w:pPr>
            <w:proofErr w:type="spellStart"/>
            <w:r w:rsidRPr="0046549A">
              <w:rPr>
                <w:rFonts w:eastAsia="標楷體"/>
                <w:color w:val="FF0000"/>
                <w:sz w:val="28"/>
                <w:szCs w:val="28"/>
              </w:rPr>
              <w:t>CEDAW</w:t>
            </w:r>
            <w:proofErr w:type="spellEnd"/>
            <w:r w:rsidRPr="0046549A">
              <w:rPr>
                <w:rFonts w:eastAsia="標楷體"/>
                <w:color w:val="FF0000"/>
                <w:sz w:val="28"/>
                <w:szCs w:val="28"/>
              </w:rPr>
              <w:t>實體</w:t>
            </w:r>
            <w:proofErr w:type="gramStart"/>
            <w:r w:rsidRPr="0046549A">
              <w:rPr>
                <w:rFonts w:eastAsia="標楷體"/>
                <w:color w:val="FF0000"/>
                <w:sz w:val="28"/>
                <w:szCs w:val="28"/>
              </w:rPr>
              <w:t>課程參訓率</w:t>
            </w:r>
            <w:proofErr w:type="gramEnd"/>
            <w:r w:rsidRPr="0046549A">
              <w:rPr>
                <w:rFonts w:eastAsia="標楷體"/>
                <w:color w:val="FF0000"/>
                <w:sz w:val="28"/>
                <w:szCs w:val="28"/>
              </w:rPr>
              <w:t>(%)</w:t>
            </w:r>
          </w:p>
        </w:tc>
        <w:tc>
          <w:tcPr>
            <w:tcW w:w="4620" w:type="dxa"/>
            <w:shd w:val="clear" w:color="auto" w:fill="auto"/>
          </w:tcPr>
          <w:p w14:paraId="2CA911BD" w14:textId="77777777" w:rsidR="00E27AD4" w:rsidRPr="0046549A" w:rsidRDefault="00E27AD4" w:rsidP="009F51F3">
            <w:pPr>
              <w:adjustRightInd w:val="0"/>
              <w:snapToGrid w:val="0"/>
              <w:spacing w:line="320" w:lineRule="exact"/>
              <w:ind w:leftChars="15" w:left="36"/>
              <w:jc w:val="both"/>
              <w:rPr>
                <w:rFonts w:ascii="Times New Roman" w:eastAsia="標楷體" w:hAnsi="Times New Roman"/>
                <w:color w:val="FF0000"/>
                <w:sz w:val="28"/>
                <w:szCs w:val="28"/>
              </w:rPr>
            </w:pPr>
            <w:r w:rsidRPr="0046549A">
              <w:rPr>
                <w:rFonts w:ascii="Times New Roman" w:eastAsia="標楷體" w:hAnsi="Times New Roman"/>
                <w:color w:val="FF0000"/>
                <w:sz w:val="28"/>
                <w:szCs w:val="28"/>
              </w:rPr>
              <w:t>一般</w:t>
            </w:r>
            <w:proofErr w:type="gramStart"/>
            <w:r w:rsidRPr="0046549A">
              <w:rPr>
                <w:rFonts w:ascii="Times New Roman" w:eastAsia="標楷體" w:hAnsi="Times New Roman"/>
                <w:color w:val="FF0000"/>
                <w:sz w:val="28"/>
                <w:szCs w:val="28"/>
              </w:rPr>
              <w:t>公務人員參訓</w:t>
            </w:r>
            <w:r w:rsidRPr="0046549A">
              <w:rPr>
                <w:rFonts w:ascii="Times New Roman" w:eastAsia="標楷體" w:hAnsi="Times New Roman" w:hint="eastAsia"/>
                <w:color w:val="FF0000"/>
                <w:sz w:val="28"/>
                <w:szCs w:val="28"/>
              </w:rPr>
              <w:t>1</w:t>
            </w:r>
            <w:r w:rsidRPr="0046549A">
              <w:rPr>
                <w:rFonts w:ascii="Times New Roman" w:eastAsia="標楷體" w:hAnsi="Times New Roman"/>
                <w:color w:val="FF0000"/>
                <w:sz w:val="28"/>
                <w:szCs w:val="28"/>
              </w:rPr>
              <w:t>小時</w:t>
            </w:r>
            <w:proofErr w:type="gramEnd"/>
            <w:r w:rsidRPr="0046549A">
              <w:rPr>
                <w:rFonts w:ascii="Times New Roman" w:eastAsia="標楷體" w:hAnsi="Times New Roman"/>
                <w:color w:val="FF0000"/>
                <w:sz w:val="28"/>
                <w:szCs w:val="28"/>
              </w:rPr>
              <w:t>以上比率</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一般</w:t>
            </w:r>
            <w:proofErr w:type="gramStart"/>
            <w:r w:rsidRPr="0046549A">
              <w:rPr>
                <w:rFonts w:ascii="Times New Roman" w:eastAsia="標楷體" w:hAnsi="Times New Roman"/>
                <w:color w:val="FF0000"/>
                <w:szCs w:val="28"/>
              </w:rPr>
              <w:t>公務人員參訓</w:t>
            </w:r>
            <w:r w:rsidRPr="0046549A">
              <w:rPr>
                <w:rFonts w:ascii="Times New Roman" w:eastAsia="標楷體" w:hAnsi="Times New Roman" w:hint="eastAsia"/>
                <w:color w:val="FF0000"/>
                <w:szCs w:val="28"/>
              </w:rPr>
              <w:t>1</w:t>
            </w:r>
            <w:r w:rsidRPr="0046549A">
              <w:rPr>
                <w:rFonts w:ascii="Times New Roman" w:eastAsia="標楷體" w:hAnsi="Times New Roman"/>
                <w:color w:val="FF0000"/>
                <w:szCs w:val="28"/>
              </w:rPr>
              <w:t>小時</w:t>
            </w:r>
            <w:proofErr w:type="gramEnd"/>
            <w:r w:rsidRPr="0046549A">
              <w:rPr>
                <w:rFonts w:ascii="Times New Roman" w:eastAsia="標楷體" w:hAnsi="Times New Roman"/>
                <w:color w:val="FF0000"/>
                <w:szCs w:val="28"/>
              </w:rPr>
              <w:t>以上人數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一般公務人員總人數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sym w:font="Wingdings 2" w:char="F0CD"/>
            </w:r>
            <w:r w:rsidRPr="0046549A">
              <w:rPr>
                <w:rFonts w:ascii="Times New Roman" w:eastAsia="標楷體" w:hAnsi="Times New Roman"/>
                <w:color w:val="FF0000"/>
                <w:szCs w:val="28"/>
              </w:rPr>
              <w:t>100%</w:t>
            </w:r>
            <w:r w:rsidRPr="0046549A">
              <w:rPr>
                <w:rFonts w:ascii="Times New Roman" w:eastAsia="標楷體" w:hAnsi="Times New Roman"/>
                <w:color w:val="FF0000"/>
                <w:szCs w:val="28"/>
              </w:rPr>
              <w:t>。</w:t>
            </w:r>
          </w:p>
        </w:tc>
        <w:tc>
          <w:tcPr>
            <w:tcW w:w="708" w:type="dxa"/>
            <w:shd w:val="clear" w:color="auto" w:fill="auto"/>
            <w:vAlign w:val="center"/>
          </w:tcPr>
          <w:p w14:paraId="6D1A57B3"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27%</w:t>
            </w:r>
          </w:p>
        </w:tc>
        <w:tc>
          <w:tcPr>
            <w:tcW w:w="708" w:type="dxa"/>
            <w:vAlign w:val="center"/>
          </w:tcPr>
          <w:p w14:paraId="26A35847" w14:textId="77777777" w:rsidR="00E27AD4" w:rsidRPr="0046549A" w:rsidRDefault="00E27AD4" w:rsidP="009F51F3">
            <w:pPr>
              <w:ind w:leftChars="-47" w:left="-113" w:rightChars="-47" w:right="-113"/>
              <w:jc w:val="center"/>
              <w:rPr>
                <w:color w:val="FF0000"/>
              </w:rPr>
            </w:pPr>
            <w:r w:rsidRPr="0046549A">
              <w:rPr>
                <w:rFonts w:ascii="Times New Roman" w:eastAsia="標楷體" w:hAnsi="Times New Roman" w:hint="eastAsia"/>
                <w:color w:val="FF0000"/>
                <w:sz w:val="28"/>
                <w:szCs w:val="28"/>
              </w:rPr>
              <w:t>28%</w:t>
            </w:r>
          </w:p>
        </w:tc>
        <w:tc>
          <w:tcPr>
            <w:tcW w:w="707" w:type="dxa"/>
            <w:vAlign w:val="center"/>
          </w:tcPr>
          <w:p w14:paraId="637E6525" w14:textId="77777777" w:rsidR="00E27AD4" w:rsidRPr="0046549A" w:rsidRDefault="00E27AD4" w:rsidP="009F51F3">
            <w:pPr>
              <w:ind w:leftChars="-45" w:left="-108" w:rightChars="-42" w:right="-101"/>
              <w:jc w:val="center"/>
              <w:rPr>
                <w:color w:val="FF0000"/>
              </w:rPr>
            </w:pPr>
            <w:r w:rsidRPr="0046549A">
              <w:rPr>
                <w:rFonts w:ascii="Times New Roman" w:eastAsia="標楷體" w:hAnsi="Times New Roman" w:hint="eastAsia"/>
                <w:color w:val="FF0000"/>
                <w:sz w:val="28"/>
                <w:szCs w:val="28"/>
              </w:rPr>
              <w:t>29%</w:t>
            </w:r>
          </w:p>
        </w:tc>
        <w:tc>
          <w:tcPr>
            <w:tcW w:w="708" w:type="dxa"/>
            <w:vAlign w:val="center"/>
          </w:tcPr>
          <w:p w14:paraId="02FB35FB" w14:textId="77777777" w:rsidR="00E27AD4" w:rsidRPr="0046549A" w:rsidRDefault="00E27AD4" w:rsidP="009F51F3">
            <w:pPr>
              <w:ind w:leftChars="-45" w:left="-108" w:rightChars="-42" w:right="-101"/>
              <w:jc w:val="center"/>
              <w:rPr>
                <w:color w:val="FF0000"/>
              </w:rPr>
            </w:pPr>
            <w:r w:rsidRPr="0046549A">
              <w:rPr>
                <w:rFonts w:ascii="Times New Roman" w:eastAsia="標楷體" w:hAnsi="Times New Roman" w:hint="eastAsia"/>
                <w:color w:val="FF0000"/>
                <w:sz w:val="28"/>
                <w:szCs w:val="28"/>
              </w:rPr>
              <w:t>30%</w:t>
            </w:r>
          </w:p>
        </w:tc>
      </w:tr>
      <w:tr w:rsidR="00E27AD4" w:rsidRPr="0046549A" w14:paraId="40310281" w14:textId="77777777" w:rsidTr="009F51F3">
        <w:trPr>
          <w:trHeight w:val="869"/>
          <w:jc w:val="center"/>
        </w:trPr>
        <w:tc>
          <w:tcPr>
            <w:tcW w:w="562" w:type="dxa"/>
            <w:vMerge/>
            <w:vAlign w:val="center"/>
          </w:tcPr>
          <w:p w14:paraId="4A7D2B28" w14:textId="77777777" w:rsidR="00E27AD4" w:rsidRPr="0046549A" w:rsidRDefault="00E27AD4" w:rsidP="009F51F3">
            <w:pPr>
              <w:adjustRightInd w:val="0"/>
              <w:snapToGrid w:val="0"/>
              <w:spacing w:line="400" w:lineRule="atLeast"/>
              <w:jc w:val="center"/>
              <w:rPr>
                <w:rFonts w:ascii="Times New Roman" w:eastAsia="標楷體" w:hAnsi="Times New Roman"/>
                <w:color w:val="FF0000"/>
                <w:sz w:val="28"/>
                <w:szCs w:val="28"/>
              </w:rPr>
            </w:pPr>
          </w:p>
        </w:tc>
        <w:tc>
          <w:tcPr>
            <w:tcW w:w="2052" w:type="dxa"/>
            <w:vMerge/>
            <w:vAlign w:val="center"/>
          </w:tcPr>
          <w:p w14:paraId="3EED87DB" w14:textId="77777777" w:rsidR="00E27AD4" w:rsidRPr="0046549A" w:rsidRDefault="00E27AD4" w:rsidP="009F51F3">
            <w:pPr>
              <w:pStyle w:val="21"/>
              <w:widowControl/>
              <w:adjustRightInd w:val="0"/>
              <w:snapToGrid w:val="0"/>
              <w:spacing w:line="400" w:lineRule="atLeast"/>
              <w:ind w:leftChars="0" w:left="560" w:hangingChars="200" w:hanging="560"/>
              <w:jc w:val="both"/>
              <w:rPr>
                <w:rFonts w:eastAsia="標楷體"/>
                <w:color w:val="FF0000"/>
                <w:sz w:val="28"/>
                <w:szCs w:val="28"/>
              </w:rPr>
            </w:pPr>
          </w:p>
        </w:tc>
        <w:tc>
          <w:tcPr>
            <w:tcW w:w="4620" w:type="dxa"/>
            <w:shd w:val="clear" w:color="auto" w:fill="auto"/>
          </w:tcPr>
          <w:p w14:paraId="3981ACBC" w14:textId="77777777" w:rsidR="00E27AD4" w:rsidRPr="0046549A" w:rsidRDefault="00E27AD4" w:rsidP="009F51F3">
            <w:pPr>
              <w:adjustRightInd w:val="0"/>
              <w:snapToGrid w:val="0"/>
              <w:spacing w:line="320" w:lineRule="exact"/>
              <w:ind w:leftChars="15" w:left="36"/>
              <w:jc w:val="both"/>
              <w:rPr>
                <w:rFonts w:ascii="Times New Roman" w:eastAsia="標楷體" w:hAnsi="Times New Roman"/>
                <w:color w:val="FF0000"/>
                <w:sz w:val="28"/>
                <w:szCs w:val="28"/>
              </w:rPr>
            </w:pPr>
            <w:r w:rsidRPr="0046549A">
              <w:rPr>
                <w:rFonts w:ascii="Times New Roman" w:eastAsia="標楷體" w:hAnsi="Times New Roman"/>
                <w:color w:val="FF0000"/>
                <w:sz w:val="28"/>
                <w:szCs w:val="28"/>
              </w:rPr>
              <w:t>主管</w:t>
            </w:r>
            <w:proofErr w:type="gramStart"/>
            <w:r w:rsidRPr="0046549A">
              <w:rPr>
                <w:rFonts w:ascii="Times New Roman" w:eastAsia="標楷體" w:hAnsi="Times New Roman"/>
                <w:color w:val="FF0000"/>
                <w:sz w:val="28"/>
                <w:szCs w:val="28"/>
              </w:rPr>
              <w:t>人員參訓</w:t>
            </w:r>
            <w:r w:rsidRPr="0046549A">
              <w:rPr>
                <w:rFonts w:ascii="Times New Roman" w:eastAsia="標楷體" w:hAnsi="Times New Roman" w:hint="eastAsia"/>
                <w:color w:val="FF0000"/>
                <w:sz w:val="28"/>
                <w:szCs w:val="28"/>
              </w:rPr>
              <w:t>1</w:t>
            </w:r>
            <w:r w:rsidRPr="0046549A">
              <w:rPr>
                <w:rFonts w:ascii="Times New Roman" w:eastAsia="標楷體" w:hAnsi="Times New Roman"/>
                <w:color w:val="FF0000"/>
                <w:sz w:val="28"/>
                <w:szCs w:val="28"/>
              </w:rPr>
              <w:t>小時</w:t>
            </w:r>
            <w:proofErr w:type="gramEnd"/>
            <w:r w:rsidRPr="0046549A">
              <w:rPr>
                <w:rFonts w:ascii="Times New Roman" w:eastAsia="標楷體" w:hAnsi="Times New Roman"/>
                <w:color w:val="FF0000"/>
                <w:sz w:val="28"/>
                <w:szCs w:val="28"/>
              </w:rPr>
              <w:t>以上比率</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主管</w:t>
            </w:r>
            <w:proofErr w:type="gramStart"/>
            <w:r w:rsidRPr="0046549A">
              <w:rPr>
                <w:rFonts w:ascii="Times New Roman" w:eastAsia="標楷體" w:hAnsi="Times New Roman"/>
                <w:color w:val="FF0000"/>
                <w:szCs w:val="28"/>
              </w:rPr>
              <w:t>人員參訓</w:t>
            </w:r>
            <w:r w:rsidRPr="0046549A">
              <w:rPr>
                <w:rFonts w:ascii="Times New Roman" w:eastAsia="標楷體" w:hAnsi="Times New Roman" w:hint="eastAsia"/>
                <w:color w:val="FF0000"/>
                <w:szCs w:val="28"/>
              </w:rPr>
              <w:t>1</w:t>
            </w:r>
            <w:r w:rsidRPr="0046549A">
              <w:rPr>
                <w:rFonts w:ascii="Times New Roman" w:eastAsia="標楷體" w:hAnsi="Times New Roman"/>
                <w:color w:val="FF0000"/>
                <w:szCs w:val="28"/>
              </w:rPr>
              <w:t>小時</w:t>
            </w:r>
            <w:proofErr w:type="gramEnd"/>
            <w:r w:rsidRPr="0046549A">
              <w:rPr>
                <w:rFonts w:ascii="Times New Roman" w:eastAsia="標楷體" w:hAnsi="Times New Roman"/>
                <w:color w:val="FF0000"/>
                <w:szCs w:val="28"/>
              </w:rPr>
              <w:t>以上人數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t>主管人員總人數</w:t>
            </w:r>
            <w:r w:rsidRPr="0046549A">
              <w:rPr>
                <w:rFonts w:ascii="Times New Roman" w:eastAsia="標楷體" w:hAnsi="Times New Roman"/>
                <w:color w:val="FF0000"/>
                <w:szCs w:val="28"/>
              </w:rPr>
              <w:t>)</w:t>
            </w:r>
            <w:r w:rsidRPr="0046549A">
              <w:rPr>
                <w:rFonts w:ascii="Times New Roman" w:eastAsia="標楷體" w:hAnsi="Times New Roman"/>
                <w:color w:val="FF0000"/>
                <w:szCs w:val="28"/>
              </w:rPr>
              <w:sym w:font="Wingdings 2" w:char="F0CD"/>
            </w:r>
            <w:r w:rsidRPr="0046549A">
              <w:rPr>
                <w:rFonts w:ascii="Times New Roman" w:eastAsia="標楷體" w:hAnsi="Times New Roman"/>
                <w:color w:val="FF0000"/>
                <w:szCs w:val="28"/>
              </w:rPr>
              <w:t>100%</w:t>
            </w:r>
            <w:r w:rsidRPr="0046549A">
              <w:rPr>
                <w:rFonts w:ascii="Times New Roman" w:eastAsia="標楷體" w:hAnsi="Times New Roman"/>
                <w:color w:val="FF0000"/>
                <w:szCs w:val="28"/>
              </w:rPr>
              <w:t>。</w:t>
            </w:r>
          </w:p>
        </w:tc>
        <w:tc>
          <w:tcPr>
            <w:tcW w:w="708" w:type="dxa"/>
            <w:shd w:val="clear" w:color="auto" w:fill="auto"/>
            <w:vAlign w:val="center"/>
          </w:tcPr>
          <w:p w14:paraId="3ECC6969"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27%</w:t>
            </w:r>
          </w:p>
        </w:tc>
        <w:tc>
          <w:tcPr>
            <w:tcW w:w="708" w:type="dxa"/>
            <w:vAlign w:val="center"/>
          </w:tcPr>
          <w:p w14:paraId="42F4B510"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28%</w:t>
            </w:r>
          </w:p>
        </w:tc>
        <w:tc>
          <w:tcPr>
            <w:tcW w:w="707" w:type="dxa"/>
            <w:vAlign w:val="center"/>
          </w:tcPr>
          <w:p w14:paraId="40D31170"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29%</w:t>
            </w:r>
          </w:p>
        </w:tc>
        <w:tc>
          <w:tcPr>
            <w:tcW w:w="708" w:type="dxa"/>
            <w:vAlign w:val="center"/>
          </w:tcPr>
          <w:p w14:paraId="7C50BB5E" w14:textId="77777777" w:rsidR="00E27AD4" w:rsidRPr="0046549A" w:rsidRDefault="00E27AD4" w:rsidP="009F51F3">
            <w:pPr>
              <w:adjustRightInd w:val="0"/>
              <w:snapToGrid w:val="0"/>
              <w:spacing w:line="400" w:lineRule="atLeast"/>
              <w:ind w:leftChars="-41" w:left="-98" w:rightChars="-46" w:right="-110"/>
              <w:jc w:val="center"/>
              <w:rPr>
                <w:rFonts w:ascii="Times New Roman" w:eastAsia="標楷體" w:hAnsi="Times New Roman"/>
                <w:color w:val="FF0000"/>
                <w:sz w:val="28"/>
                <w:szCs w:val="28"/>
              </w:rPr>
            </w:pPr>
            <w:r w:rsidRPr="0046549A">
              <w:rPr>
                <w:rFonts w:ascii="Times New Roman" w:eastAsia="標楷體" w:hAnsi="Times New Roman" w:hint="eastAsia"/>
                <w:color w:val="FF0000"/>
                <w:sz w:val="28"/>
                <w:szCs w:val="28"/>
              </w:rPr>
              <w:t>30%</w:t>
            </w:r>
          </w:p>
        </w:tc>
      </w:tr>
    </w:tbl>
    <w:p w14:paraId="57A086D1" w14:textId="0F4AEA67" w:rsidR="00E27AD4" w:rsidRPr="0043254E" w:rsidRDefault="00E27AD4" w:rsidP="00E27AD4">
      <w:pPr>
        <w:pStyle w:val="4"/>
        <w:widowControl/>
        <w:tabs>
          <w:tab w:val="left" w:pos="709"/>
        </w:tabs>
        <w:spacing w:line="460" w:lineRule="exact"/>
        <w:ind w:leftChars="0" w:left="0"/>
        <w:jc w:val="both"/>
        <w:rPr>
          <w:rFonts w:ascii="標楷體" w:eastAsia="標楷體" w:hAnsi="標楷體"/>
          <w:sz w:val="28"/>
          <w:szCs w:val="28"/>
        </w:rPr>
      </w:pPr>
    </w:p>
    <w:p w14:paraId="2A72E6F6" w14:textId="570D4070" w:rsidR="0043254E" w:rsidRDefault="0014301B" w:rsidP="002D11D9">
      <w:pPr>
        <w:pStyle w:val="4"/>
        <w:widowControl/>
        <w:numPr>
          <w:ilvl w:val="0"/>
          <w:numId w:val="4"/>
        </w:numPr>
        <w:tabs>
          <w:tab w:val="left" w:pos="709"/>
        </w:tabs>
        <w:spacing w:afterLines="50" w:after="180" w:line="460" w:lineRule="exact"/>
        <w:ind w:leftChars="0" w:left="567" w:hanging="567"/>
        <w:jc w:val="both"/>
        <w:rPr>
          <w:rFonts w:ascii="標楷體" w:eastAsia="標楷體" w:hAnsi="標楷體"/>
          <w:b/>
          <w:sz w:val="36"/>
          <w:szCs w:val="36"/>
          <w:bdr w:val="single" w:sz="4" w:space="0" w:color="auto"/>
        </w:rPr>
      </w:pPr>
      <w:r w:rsidRPr="0043254E">
        <w:rPr>
          <w:rFonts w:ascii="標楷體" w:eastAsia="標楷體" w:hAnsi="標楷體" w:hint="eastAsia"/>
          <w:sz w:val="28"/>
          <w:szCs w:val="28"/>
        </w:rPr>
        <w:t>本實施計畫如有未盡事宜，得隨時修正之。</w:t>
      </w:r>
    </w:p>
    <w:sectPr w:rsidR="0043254E" w:rsidSect="005157C3">
      <w:pgSz w:w="11906" w:h="16838"/>
      <w:pgMar w:top="1247" w:right="1361"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D41B" w14:textId="77777777" w:rsidR="00C11E90" w:rsidRDefault="00C11E90" w:rsidP="00585377">
      <w:r>
        <w:separator/>
      </w:r>
    </w:p>
  </w:endnote>
  <w:endnote w:type="continuationSeparator" w:id="0">
    <w:p w14:paraId="7E6EF169" w14:textId="77777777" w:rsidR="00C11E90" w:rsidRDefault="00C11E90" w:rsidP="0058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EB10" w14:textId="77777777" w:rsidR="00C11E90" w:rsidRDefault="00C11E90" w:rsidP="00585377">
      <w:r>
        <w:separator/>
      </w:r>
    </w:p>
  </w:footnote>
  <w:footnote w:type="continuationSeparator" w:id="0">
    <w:p w14:paraId="13777856" w14:textId="77777777" w:rsidR="00C11E90" w:rsidRDefault="00C11E90" w:rsidP="0058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389"/>
    <w:multiLevelType w:val="hybridMultilevel"/>
    <w:tmpl w:val="2AAEBC5C"/>
    <w:lvl w:ilvl="0" w:tplc="BD74A13C">
      <w:start w:val="1"/>
      <w:numFmt w:val="taiwaneseCountingThousand"/>
      <w:lvlText w:val="(%1)"/>
      <w:lvlJc w:val="left"/>
      <w:pPr>
        <w:ind w:left="1189" w:hanging="48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8D8763D"/>
    <w:multiLevelType w:val="hybridMultilevel"/>
    <w:tmpl w:val="0D304F58"/>
    <w:lvl w:ilvl="0" w:tplc="63E008DA">
      <w:start w:val="1"/>
      <w:numFmt w:val="taiwaneseCountingThousand"/>
      <w:lvlText w:val="(%1)"/>
      <w:lvlJc w:val="left"/>
      <w:pPr>
        <w:ind w:left="1163" w:hanging="720"/>
      </w:pPr>
      <w:rPr>
        <w:rFonts w:hint="default"/>
      </w:rPr>
    </w:lvl>
    <w:lvl w:ilvl="1" w:tplc="04090019" w:tentative="1">
      <w:start w:val="1"/>
      <w:numFmt w:val="ideographTraditional"/>
      <w:lvlText w:val="%2、"/>
      <w:lvlJc w:val="left"/>
      <w:pPr>
        <w:ind w:left="1403" w:hanging="480"/>
      </w:pPr>
    </w:lvl>
    <w:lvl w:ilvl="2" w:tplc="0409001B" w:tentative="1">
      <w:start w:val="1"/>
      <w:numFmt w:val="lowerRoman"/>
      <w:lvlText w:val="%3."/>
      <w:lvlJc w:val="right"/>
      <w:pPr>
        <w:ind w:left="1883" w:hanging="480"/>
      </w:pPr>
    </w:lvl>
    <w:lvl w:ilvl="3" w:tplc="0409000F" w:tentative="1">
      <w:start w:val="1"/>
      <w:numFmt w:val="decimal"/>
      <w:lvlText w:val="%4."/>
      <w:lvlJc w:val="left"/>
      <w:pPr>
        <w:ind w:left="2363" w:hanging="480"/>
      </w:pPr>
    </w:lvl>
    <w:lvl w:ilvl="4" w:tplc="04090019" w:tentative="1">
      <w:start w:val="1"/>
      <w:numFmt w:val="ideographTraditional"/>
      <w:lvlText w:val="%5、"/>
      <w:lvlJc w:val="left"/>
      <w:pPr>
        <w:ind w:left="2843" w:hanging="480"/>
      </w:pPr>
    </w:lvl>
    <w:lvl w:ilvl="5" w:tplc="0409001B" w:tentative="1">
      <w:start w:val="1"/>
      <w:numFmt w:val="lowerRoman"/>
      <w:lvlText w:val="%6."/>
      <w:lvlJc w:val="right"/>
      <w:pPr>
        <w:ind w:left="3323" w:hanging="480"/>
      </w:pPr>
    </w:lvl>
    <w:lvl w:ilvl="6" w:tplc="0409000F" w:tentative="1">
      <w:start w:val="1"/>
      <w:numFmt w:val="decimal"/>
      <w:lvlText w:val="%7."/>
      <w:lvlJc w:val="left"/>
      <w:pPr>
        <w:ind w:left="3803" w:hanging="480"/>
      </w:pPr>
    </w:lvl>
    <w:lvl w:ilvl="7" w:tplc="04090019" w:tentative="1">
      <w:start w:val="1"/>
      <w:numFmt w:val="ideographTraditional"/>
      <w:lvlText w:val="%8、"/>
      <w:lvlJc w:val="left"/>
      <w:pPr>
        <w:ind w:left="4283" w:hanging="480"/>
      </w:pPr>
    </w:lvl>
    <w:lvl w:ilvl="8" w:tplc="0409001B" w:tentative="1">
      <w:start w:val="1"/>
      <w:numFmt w:val="lowerRoman"/>
      <w:lvlText w:val="%9."/>
      <w:lvlJc w:val="right"/>
      <w:pPr>
        <w:ind w:left="4763" w:hanging="480"/>
      </w:pPr>
    </w:lvl>
  </w:abstractNum>
  <w:abstractNum w:abstractNumId="2" w15:restartNumberingAfterBreak="0">
    <w:nsid w:val="0B1D1359"/>
    <w:multiLevelType w:val="hybridMultilevel"/>
    <w:tmpl w:val="4AE49BFA"/>
    <w:lvl w:ilvl="0" w:tplc="ABD453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245D9A"/>
    <w:multiLevelType w:val="hybridMultilevel"/>
    <w:tmpl w:val="4754B324"/>
    <w:lvl w:ilvl="0" w:tplc="38FC9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9F58DC"/>
    <w:multiLevelType w:val="hybridMultilevel"/>
    <w:tmpl w:val="3AC045A8"/>
    <w:lvl w:ilvl="0" w:tplc="94AC1E46">
      <w:start w:val="1"/>
      <w:numFmt w:val="taiwaneseCountingThousand"/>
      <w:lvlText w:val="%1、"/>
      <w:lvlJc w:val="left"/>
      <w:pPr>
        <w:ind w:left="860" w:hanging="720"/>
      </w:pPr>
      <w:rPr>
        <w:rFonts w:hint="default"/>
        <w:lang w:val="en-US"/>
      </w:rPr>
    </w:lvl>
    <w:lvl w:ilvl="1" w:tplc="428EA778">
      <w:start w:val="1"/>
      <w:numFmt w:val="decimal"/>
      <w:lvlText w:val="%2."/>
      <w:lvlJc w:val="left"/>
      <w:pPr>
        <w:ind w:left="980" w:hanging="360"/>
      </w:pPr>
      <w:rPr>
        <w:rFonts w:hint="default"/>
      </w:rPr>
    </w:lvl>
    <w:lvl w:ilvl="2" w:tplc="0409001B">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6" w15:restartNumberingAfterBreak="0">
    <w:nsid w:val="232B58F4"/>
    <w:multiLevelType w:val="hybridMultilevel"/>
    <w:tmpl w:val="F6AEF66A"/>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5A24A93"/>
    <w:multiLevelType w:val="hybridMultilevel"/>
    <w:tmpl w:val="0986AB10"/>
    <w:lvl w:ilvl="0" w:tplc="F33042A2">
      <w:start w:val="1"/>
      <w:numFmt w:val="taiwaneseCountingThousand"/>
      <w:lvlText w:val="(%1)"/>
      <w:lvlJc w:val="left"/>
      <w:pPr>
        <w:ind w:left="1028" w:hanging="720"/>
      </w:pPr>
      <w:rPr>
        <w:rFonts w:hint="default"/>
      </w:rPr>
    </w:lvl>
    <w:lvl w:ilvl="1" w:tplc="0088C726">
      <w:start w:val="1"/>
      <w:numFmt w:val="decimal"/>
      <w:lvlText w:val="%2."/>
      <w:lvlJc w:val="left"/>
      <w:pPr>
        <w:ind w:left="1148" w:hanging="360"/>
      </w:pPr>
      <w:rPr>
        <w:rFonts w:hint="default"/>
        <w:u w:val="none"/>
      </w:rPr>
    </w:lvl>
    <w:lvl w:ilvl="2" w:tplc="0409001B" w:tentative="1">
      <w:start w:val="1"/>
      <w:numFmt w:val="lowerRoman"/>
      <w:lvlText w:val="%3."/>
      <w:lvlJc w:val="right"/>
      <w:pPr>
        <w:ind w:left="1748" w:hanging="480"/>
      </w:pPr>
    </w:lvl>
    <w:lvl w:ilvl="3" w:tplc="0409000F" w:tentative="1">
      <w:start w:val="1"/>
      <w:numFmt w:val="decimal"/>
      <w:lvlText w:val="%4."/>
      <w:lvlJc w:val="left"/>
      <w:pPr>
        <w:ind w:left="2228" w:hanging="480"/>
      </w:pPr>
    </w:lvl>
    <w:lvl w:ilvl="4" w:tplc="04090019" w:tentative="1">
      <w:start w:val="1"/>
      <w:numFmt w:val="ideographTraditional"/>
      <w:lvlText w:val="%5、"/>
      <w:lvlJc w:val="left"/>
      <w:pPr>
        <w:ind w:left="2708" w:hanging="480"/>
      </w:pPr>
    </w:lvl>
    <w:lvl w:ilvl="5" w:tplc="0409001B" w:tentative="1">
      <w:start w:val="1"/>
      <w:numFmt w:val="lowerRoman"/>
      <w:lvlText w:val="%6."/>
      <w:lvlJc w:val="right"/>
      <w:pPr>
        <w:ind w:left="3188" w:hanging="480"/>
      </w:pPr>
    </w:lvl>
    <w:lvl w:ilvl="6" w:tplc="0409000F" w:tentative="1">
      <w:start w:val="1"/>
      <w:numFmt w:val="decimal"/>
      <w:lvlText w:val="%7."/>
      <w:lvlJc w:val="left"/>
      <w:pPr>
        <w:ind w:left="3668" w:hanging="480"/>
      </w:pPr>
    </w:lvl>
    <w:lvl w:ilvl="7" w:tplc="04090019" w:tentative="1">
      <w:start w:val="1"/>
      <w:numFmt w:val="ideographTraditional"/>
      <w:lvlText w:val="%8、"/>
      <w:lvlJc w:val="left"/>
      <w:pPr>
        <w:ind w:left="4148" w:hanging="480"/>
      </w:pPr>
    </w:lvl>
    <w:lvl w:ilvl="8" w:tplc="0409001B" w:tentative="1">
      <w:start w:val="1"/>
      <w:numFmt w:val="lowerRoman"/>
      <w:lvlText w:val="%9."/>
      <w:lvlJc w:val="right"/>
      <w:pPr>
        <w:ind w:left="4628" w:hanging="480"/>
      </w:pPr>
    </w:lvl>
  </w:abstractNum>
  <w:abstractNum w:abstractNumId="10" w15:restartNumberingAfterBreak="0">
    <w:nsid w:val="37F02731"/>
    <w:multiLevelType w:val="hybridMultilevel"/>
    <w:tmpl w:val="824C3484"/>
    <w:lvl w:ilvl="0" w:tplc="632270D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879058B"/>
    <w:multiLevelType w:val="hybridMultilevel"/>
    <w:tmpl w:val="A9B4CFAE"/>
    <w:lvl w:ilvl="0" w:tplc="20829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B84ABE"/>
    <w:multiLevelType w:val="hybridMultilevel"/>
    <w:tmpl w:val="64DA7B50"/>
    <w:lvl w:ilvl="0" w:tplc="4066DBC4">
      <w:start w:val="1"/>
      <w:numFmt w:val="ideographLegalTraditional"/>
      <w:lvlText w:val="%1、"/>
      <w:lvlJc w:val="left"/>
      <w:pPr>
        <w:ind w:left="622" w:hanging="480"/>
      </w:pPr>
      <w:rPr>
        <w:rFonts w:hint="default"/>
        <w:b/>
        <w:color w:val="000000" w:themeColor="text1"/>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946E13"/>
    <w:multiLevelType w:val="hybridMultilevel"/>
    <w:tmpl w:val="89225C5E"/>
    <w:lvl w:ilvl="0" w:tplc="0409000F">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5B505CC2"/>
    <w:multiLevelType w:val="hybridMultilevel"/>
    <w:tmpl w:val="AD9A72F2"/>
    <w:lvl w:ilvl="0" w:tplc="75EC6E5E">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62DC4DAB"/>
    <w:multiLevelType w:val="hybridMultilevel"/>
    <w:tmpl w:val="27EE1C88"/>
    <w:lvl w:ilvl="0" w:tplc="24BC8CCE">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6" w15:restartNumberingAfterBreak="0">
    <w:nsid w:val="6CAD7B84"/>
    <w:multiLevelType w:val="hybridMultilevel"/>
    <w:tmpl w:val="4928F0AA"/>
    <w:lvl w:ilvl="0" w:tplc="8548AC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7B2457E"/>
    <w:multiLevelType w:val="hybridMultilevel"/>
    <w:tmpl w:val="F8EC318E"/>
    <w:lvl w:ilvl="0" w:tplc="9CC84E3A">
      <w:start w:val="1"/>
      <w:numFmt w:val="taiwaneseCountingThousand"/>
      <w:lvlText w:val="(%1)"/>
      <w:lvlJc w:val="left"/>
      <w:pPr>
        <w:ind w:left="1713" w:hanging="720"/>
      </w:pPr>
      <w:rPr>
        <w:rFonts w:hint="default"/>
        <w:color w:val="auto"/>
      </w:rPr>
    </w:lvl>
    <w:lvl w:ilvl="1" w:tplc="04090019" w:tentative="1">
      <w:start w:val="1"/>
      <w:numFmt w:val="ideographTraditional"/>
      <w:lvlText w:val="%2、"/>
      <w:lvlJc w:val="left"/>
      <w:pPr>
        <w:ind w:left="1403" w:hanging="480"/>
      </w:pPr>
    </w:lvl>
    <w:lvl w:ilvl="2" w:tplc="0409001B" w:tentative="1">
      <w:start w:val="1"/>
      <w:numFmt w:val="lowerRoman"/>
      <w:lvlText w:val="%3."/>
      <w:lvlJc w:val="right"/>
      <w:pPr>
        <w:ind w:left="1883" w:hanging="480"/>
      </w:pPr>
    </w:lvl>
    <w:lvl w:ilvl="3" w:tplc="0409000F" w:tentative="1">
      <w:start w:val="1"/>
      <w:numFmt w:val="decimal"/>
      <w:lvlText w:val="%4."/>
      <w:lvlJc w:val="left"/>
      <w:pPr>
        <w:ind w:left="2363" w:hanging="480"/>
      </w:pPr>
    </w:lvl>
    <w:lvl w:ilvl="4" w:tplc="04090019" w:tentative="1">
      <w:start w:val="1"/>
      <w:numFmt w:val="ideographTraditional"/>
      <w:lvlText w:val="%5、"/>
      <w:lvlJc w:val="left"/>
      <w:pPr>
        <w:ind w:left="2843" w:hanging="480"/>
      </w:pPr>
    </w:lvl>
    <w:lvl w:ilvl="5" w:tplc="0409001B" w:tentative="1">
      <w:start w:val="1"/>
      <w:numFmt w:val="lowerRoman"/>
      <w:lvlText w:val="%6."/>
      <w:lvlJc w:val="right"/>
      <w:pPr>
        <w:ind w:left="3323" w:hanging="480"/>
      </w:pPr>
    </w:lvl>
    <w:lvl w:ilvl="6" w:tplc="0409000F" w:tentative="1">
      <w:start w:val="1"/>
      <w:numFmt w:val="decimal"/>
      <w:lvlText w:val="%7."/>
      <w:lvlJc w:val="left"/>
      <w:pPr>
        <w:ind w:left="3803" w:hanging="480"/>
      </w:pPr>
    </w:lvl>
    <w:lvl w:ilvl="7" w:tplc="04090019" w:tentative="1">
      <w:start w:val="1"/>
      <w:numFmt w:val="ideographTraditional"/>
      <w:lvlText w:val="%8、"/>
      <w:lvlJc w:val="left"/>
      <w:pPr>
        <w:ind w:left="4283" w:hanging="480"/>
      </w:pPr>
    </w:lvl>
    <w:lvl w:ilvl="8" w:tplc="0409001B" w:tentative="1">
      <w:start w:val="1"/>
      <w:numFmt w:val="lowerRoman"/>
      <w:lvlText w:val="%9."/>
      <w:lvlJc w:val="right"/>
      <w:pPr>
        <w:ind w:left="4763" w:hanging="480"/>
      </w:pPr>
    </w:lvl>
  </w:abstractNum>
  <w:abstractNum w:abstractNumId="18" w15:restartNumberingAfterBreak="0">
    <w:nsid w:val="7C6F075F"/>
    <w:multiLevelType w:val="hybridMultilevel"/>
    <w:tmpl w:val="E4AAE55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6"/>
  </w:num>
  <w:num w:numId="3">
    <w:abstractNumId w:val="3"/>
  </w:num>
  <w:num w:numId="4">
    <w:abstractNumId w:val="12"/>
  </w:num>
  <w:num w:numId="5">
    <w:abstractNumId w:val="5"/>
  </w:num>
  <w:num w:numId="6">
    <w:abstractNumId w:val="15"/>
  </w:num>
  <w:num w:numId="7">
    <w:abstractNumId w:val="1"/>
  </w:num>
  <w:num w:numId="8">
    <w:abstractNumId w:val="9"/>
  </w:num>
  <w:num w:numId="9">
    <w:abstractNumId w:val="13"/>
  </w:num>
  <w:num w:numId="10">
    <w:abstractNumId w:val="4"/>
  </w:num>
  <w:num w:numId="11">
    <w:abstractNumId w:val="8"/>
  </w:num>
  <w:num w:numId="12">
    <w:abstractNumId w:val="17"/>
  </w:num>
  <w:num w:numId="13">
    <w:abstractNumId w:val="11"/>
  </w:num>
  <w:num w:numId="14">
    <w:abstractNumId w:val="10"/>
  </w:num>
  <w:num w:numId="15">
    <w:abstractNumId w:val="2"/>
  </w:num>
  <w:num w:numId="16">
    <w:abstractNumId w:val="0"/>
  </w:num>
  <w:num w:numId="17">
    <w:abstractNumId w:val="14"/>
  </w:num>
  <w:num w:numId="18">
    <w:abstractNumId w:val="16"/>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1B"/>
    <w:rsid w:val="00000499"/>
    <w:rsid w:val="000131CA"/>
    <w:rsid w:val="00021228"/>
    <w:rsid w:val="00026B19"/>
    <w:rsid w:val="00046AE6"/>
    <w:rsid w:val="000A2940"/>
    <w:rsid w:val="000E2522"/>
    <w:rsid w:val="000E718F"/>
    <w:rsid w:val="00100732"/>
    <w:rsid w:val="00123003"/>
    <w:rsid w:val="00140F56"/>
    <w:rsid w:val="00142738"/>
    <w:rsid w:val="0014301B"/>
    <w:rsid w:val="00170ED7"/>
    <w:rsid w:val="00171D04"/>
    <w:rsid w:val="00184AB7"/>
    <w:rsid w:val="002129B4"/>
    <w:rsid w:val="00252FBF"/>
    <w:rsid w:val="00283F86"/>
    <w:rsid w:val="002D11D9"/>
    <w:rsid w:val="002D66B1"/>
    <w:rsid w:val="002E0ABB"/>
    <w:rsid w:val="002F0E43"/>
    <w:rsid w:val="0031357E"/>
    <w:rsid w:val="00326C7A"/>
    <w:rsid w:val="00326E40"/>
    <w:rsid w:val="0035631F"/>
    <w:rsid w:val="00360437"/>
    <w:rsid w:val="00361973"/>
    <w:rsid w:val="003719E2"/>
    <w:rsid w:val="0037403A"/>
    <w:rsid w:val="00375E2C"/>
    <w:rsid w:val="00383B1C"/>
    <w:rsid w:val="00393B8D"/>
    <w:rsid w:val="003B01EA"/>
    <w:rsid w:val="003C520B"/>
    <w:rsid w:val="003D44E3"/>
    <w:rsid w:val="003E46F7"/>
    <w:rsid w:val="004323FB"/>
    <w:rsid w:val="0043254E"/>
    <w:rsid w:val="00434888"/>
    <w:rsid w:val="004614BE"/>
    <w:rsid w:val="004650AB"/>
    <w:rsid w:val="00481825"/>
    <w:rsid w:val="004B42AD"/>
    <w:rsid w:val="005078C6"/>
    <w:rsid w:val="005157C3"/>
    <w:rsid w:val="00571B2C"/>
    <w:rsid w:val="0057677B"/>
    <w:rsid w:val="00585377"/>
    <w:rsid w:val="00594E88"/>
    <w:rsid w:val="005A2489"/>
    <w:rsid w:val="005B2E65"/>
    <w:rsid w:val="006004F2"/>
    <w:rsid w:val="00612453"/>
    <w:rsid w:val="00614D1F"/>
    <w:rsid w:val="00625259"/>
    <w:rsid w:val="00697C53"/>
    <w:rsid w:val="006B5AD1"/>
    <w:rsid w:val="00743BD2"/>
    <w:rsid w:val="00743C34"/>
    <w:rsid w:val="00786D77"/>
    <w:rsid w:val="00794354"/>
    <w:rsid w:val="007A02EA"/>
    <w:rsid w:val="007B3B31"/>
    <w:rsid w:val="007F01EB"/>
    <w:rsid w:val="00800085"/>
    <w:rsid w:val="0080694A"/>
    <w:rsid w:val="00816328"/>
    <w:rsid w:val="00833F84"/>
    <w:rsid w:val="00883177"/>
    <w:rsid w:val="008A0462"/>
    <w:rsid w:val="008C73C7"/>
    <w:rsid w:val="009209B9"/>
    <w:rsid w:val="0096708D"/>
    <w:rsid w:val="00972C5A"/>
    <w:rsid w:val="009879E9"/>
    <w:rsid w:val="009948B5"/>
    <w:rsid w:val="00996728"/>
    <w:rsid w:val="009B524B"/>
    <w:rsid w:val="009F1147"/>
    <w:rsid w:val="009F2552"/>
    <w:rsid w:val="00A271A3"/>
    <w:rsid w:val="00A77EC7"/>
    <w:rsid w:val="00B04D30"/>
    <w:rsid w:val="00B31891"/>
    <w:rsid w:val="00B3601C"/>
    <w:rsid w:val="00B43847"/>
    <w:rsid w:val="00B515BE"/>
    <w:rsid w:val="00B94730"/>
    <w:rsid w:val="00BA4A48"/>
    <w:rsid w:val="00BE07A3"/>
    <w:rsid w:val="00BE6769"/>
    <w:rsid w:val="00BE6D16"/>
    <w:rsid w:val="00C02EEE"/>
    <w:rsid w:val="00C11E90"/>
    <w:rsid w:val="00C81891"/>
    <w:rsid w:val="00CD7F4C"/>
    <w:rsid w:val="00D50344"/>
    <w:rsid w:val="00D54C41"/>
    <w:rsid w:val="00D5757C"/>
    <w:rsid w:val="00DA3298"/>
    <w:rsid w:val="00DC002D"/>
    <w:rsid w:val="00DC5417"/>
    <w:rsid w:val="00DE4D40"/>
    <w:rsid w:val="00E27AD4"/>
    <w:rsid w:val="00EB1885"/>
    <w:rsid w:val="00EB19A9"/>
    <w:rsid w:val="00EC2EEB"/>
    <w:rsid w:val="00F00C50"/>
    <w:rsid w:val="00F04888"/>
    <w:rsid w:val="00F12C23"/>
    <w:rsid w:val="00F231CA"/>
    <w:rsid w:val="00F26BD2"/>
    <w:rsid w:val="00F75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CE306"/>
  <w15:docId w15:val="{F6507BC2-EA14-40CB-A723-B7A9B0E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01B"/>
    <w:pPr>
      <w:widowControl w:val="0"/>
    </w:pPr>
    <w:rPr>
      <w:rFonts w:ascii="Calibri" w:eastAsia="新細明體" w:hAnsi="Calibri" w:cs="Times New Roman"/>
    </w:rPr>
  </w:style>
  <w:style w:type="paragraph" w:styleId="2">
    <w:name w:val="heading 2"/>
    <w:basedOn w:val="a"/>
    <w:next w:val="a"/>
    <w:link w:val="20"/>
    <w:uiPriority w:val="9"/>
    <w:unhideWhenUsed/>
    <w:qFormat/>
    <w:rsid w:val="0014301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4301B"/>
    <w:rPr>
      <w:rFonts w:ascii="標楷體" w:eastAsia="標楷體" w:hAnsi="Cambria" w:cs="Times New Roman"/>
      <w:b/>
      <w:bCs/>
      <w:sz w:val="28"/>
      <w:szCs w:val="48"/>
    </w:rPr>
  </w:style>
  <w:style w:type="character" w:customStyle="1" w:styleId="a3">
    <w:name w:val="清單段落 字元"/>
    <w:link w:val="a4"/>
    <w:uiPriority w:val="99"/>
    <w:locked/>
    <w:rsid w:val="0014301B"/>
  </w:style>
  <w:style w:type="paragraph" w:styleId="a4">
    <w:name w:val="List Paragraph"/>
    <w:basedOn w:val="a"/>
    <w:link w:val="a3"/>
    <w:uiPriority w:val="99"/>
    <w:qFormat/>
    <w:rsid w:val="0014301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14301B"/>
    <w:pPr>
      <w:tabs>
        <w:tab w:val="center" w:pos="4153"/>
        <w:tab w:val="right" w:pos="8306"/>
      </w:tabs>
      <w:snapToGrid w:val="0"/>
    </w:pPr>
    <w:rPr>
      <w:sz w:val="20"/>
      <w:szCs w:val="20"/>
    </w:rPr>
  </w:style>
  <w:style w:type="character" w:customStyle="1" w:styleId="a6">
    <w:name w:val="頁首 字元"/>
    <w:basedOn w:val="a0"/>
    <w:link w:val="a5"/>
    <w:uiPriority w:val="99"/>
    <w:rsid w:val="0014301B"/>
    <w:rPr>
      <w:rFonts w:ascii="Calibri" w:eastAsia="新細明體" w:hAnsi="Calibri" w:cs="Times New Roman"/>
      <w:sz w:val="20"/>
      <w:szCs w:val="20"/>
    </w:rPr>
  </w:style>
  <w:style w:type="paragraph" w:styleId="a7">
    <w:name w:val="footer"/>
    <w:basedOn w:val="a"/>
    <w:link w:val="a8"/>
    <w:uiPriority w:val="99"/>
    <w:unhideWhenUsed/>
    <w:rsid w:val="0014301B"/>
    <w:pPr>
      <w:tabs>
        <w:tab w:val="center" w:pos="4153"/>
        <w:tab w:val="right" w:pos="8306"/>
      </w:tabs>
      <w:snapToGrid w:val="0"/>
    </w:pPr>
    <w:rPr>
      <w:sz w:val="20"/>
      <w:szCs w:val="20"/>
    </w:rPr>
  </w:style>
  <w:style w:type="character" w:customStyle="1" w:styleId="a8">
    <w:name w:val="頁尾 字元"/>
    <w:basedOn w:val="a0"/>
    <w:link w:val="a7"/>
    <w:uiPriority w:val="99"/>
    <w:rsid w:val="0014301B"/>
    <w:rPr>
      <w:rFonts w:ascii="Calibri" w:eastAsia="新細明體" w:hAnsi="Calibri" w:cs="Times New Roman"/>
      <w:sz w:val="20"/>
      <w:szCs w:val="20"/>
    </w:rPr>
  </w:style>
  <w:style w:type="paragraph" w:styleId="a9">
    <w:name w:val="Balloon Text"/>
    <w:basedOn w:val="a"/>
    <w:link w:val="aa"/>
    <w:unhideWhenUsed/>
    <w:rsid w:val="0014301B"/>
    <w:rPr>
      <w:rFonts w:asciiTheme="majorHAnsi" w:eastAsiaTheme="majorEastAsia" w:hAnsiTheme="majorHAnsi" w:cstheme="majorBidi"/>
      <w:sz w:val="18"/>
      <w:szCs w:val="18"/>
    </w:rPr>
  </w:style>
  <w:style w:type="character" w:customStyle="1" w:styleId="aa">
    <w:name w:val="註解方塊文字 字元"/>
    <w:basedOn w:val="a0"/>
    <w:link w:val="a9"/>
    <w:rsid w:val="0014301B"/>
    <w:rPr>
      <w:rFonts w:asciiTheme="majorHAnsi" w:eastAsiaTheme="majorEastAsia" w:hAnsiTheme="majorHAnsi" w:cstheme="majorBidi"/>
      <w:sz w:val="18"/>
      <w:szCs w:val="18"/>
    </w:rPr>
  </w:style>
  <w:style w:type="character" w:styleId="ab">
    <w:name w:val="Hyperlink"/>
    <w:uiPriority w:val="99"/>
    <w:unhideWhenUsed/>
    <w:rsid w:val="0014301B"/>
    <w:rPr>
      <w:color w:val="0000FF"/>
      <w:u w:val="single"/>
    </w:rPr>
  </w:style>
  <w:style w:type="paragraph" w:customStyle="1" w:styleId="1">
    <w:name w:val="清單段落1"/>
    <w:basedOn w:val="a"/>
    <w:rsid w:val="0014301B"/>
    <w:pPr>
      <w:ind w:leftChars="200" w:left="480"/>
    </w:pPr>
    <w:rPr>
      <w:rFonts w:cs="Calibri"/>
      <w:szCs w:val="24"/>
    </w:rPr>
  </w:style>
  <w:style w:type="paragraph" w:customStyle="1" w:styleId="21">
    <w:name w:val="清單段落2"/>
    <w:basedOn w:val="a"/>
    <w:rsid w:val="0014301B"/>
    <w:pPr>
      <w:ind w:leftChars="200" w:left="480"/>
    </w:pPr>
    <w:rPr>
      <w:rFonts w:ascii="Times New Roman" w:hAnsi="Times New Roman"/>
      <w:szCs w:val="24"/>
    </w:rPr>
  </w:style>
  <w:style w:type="paragraph" w:customStyle="1" w:styleId="3">
    <w:name w:val="清單段落3"/>
    <w:basedOn w:val="a"/>
    <w:rsid w:val="0014301B"/>
    <w:pPr>
      <w:ind w:leftChars="200" w:left="480"/>
    </w:pPr>
    <w:rPr>
      <w:rFonts w:ascii="Times New Roman" w:hAnsi="Times New Roman"/>
      <w:szCs w:val="24"/>
    </w:rPr>
  </w:style>
  <w:style w:type="paragraph" w:customStyle="1" w:styleId="Default">
    <w:name w:val="Default"/>
    <w:rsid w:val="0014301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14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14301B"/>
    <w:pPr>
      <w:ind w:leftChars="200" w:left="480"/>
    </w:pPr>
    <w:rPr>
      <w:rFonts w:ascii="Times New Roman" w:hAnsi="Times New Roman"/>
      <w:szCs w:val="24"/>
    </w:rPr>
  </w:style>
  <w:style w:type="character" w:customStyle="1" w:styleId="ListParagraphChar">
    <w:name w:val="List Paragraph Char"/>
    <w:link w:val="4"/>
    <w:locked/>
    <w:rsid w:val="0014301B"/>
    <w:rPr>
      <w:rFonts w:ascii="Times New Roman" w:eastAsia="新細明體" w:hAnsi="Times New Roman" w:cs="Times New Roman"/>
      <w:szCs w:val="24"/>
    </w:rPr>
  </w:style>
  <w:style w:type="character" w:styleId="ad">
    <w:name w:val="annotation reference"/>
    <w:basedOn w:val="a0"/>
    <w:uiPriority w:val="99"/>
    <w:semiHidden/>
    <w:unhideWhenUsed/>
    <w:rsid w:val="00B43847"/>
    <w:rPr>
      <w:sz w:val="18"/>
      <w:szCs w:val="18"/>
    </w:rPr>
  </w:style>
  <w:style w:type="paragraph" w:styleId="ae">
    <w:name w:val="annotation text"/>
    <w:basedOn w:val="a"/>
    <w:link w:val="af"/>
    <w:uiPriority w:val="99"/>
    <w:semiHidden/>
    <w:unhideWhenUsed/>
    <w:rsid w:val="00B43847"/>
  </w:style>
  <w:style w:type="character" w:customStyle="1" w:styleId="af">
    <w:name w:val="註解文字 字元"/>
    <w:basedOn w:val="a0"/>
    <w:link w:val="ae"/>
    <w:uiPriority w:val="99"/>
    <w:semiHidden/>
    <w:rsid w:val="00B43847"/>
    <w:rPr>
      <w:rFonts w:ascii="Calibri" w:eastAsia="新細明體" w:hAnsi="Calibri" w:cs="Times New Roman"/>
    </w:rPr>
  </w:style>
  <w:style w:type="paragraph" w:styleId="af0">
    <w:name w:val="annotation subject"/>
    <w:basedOn w:val="ae"/>
    <w:next w:val="ae"/>
    <w:link w:val="af1"/>
    <w:uiPriority w:val="99"/>
    <w:semiHidden/>
    <w:unhideWhenUsed/>
    <w:rsid w:val="00B43847"/>
    <w:rPr>
      <w:b/>
      <w:bCs/>
    </w:rPr>
  </w:style>
  <w:style w:type="character" w:customStyle="1" w:styleId="af1">
    <w:name w:val="註解主旨 字元"/>
    <w:basedOn w:val="af"/>
    <w:link w:val="af0"/>
    <w:uiPriority w:val="99"/>
    <w:semiHidden/>
    <w:rsid w:val="00B43847"/>
    <w:rPr>
      <w:rFonts w:ascii="Calibri" w:eastAsia="新細明體" w:hAnsi="Calibri" w:cs="Times New Roman"/>
      <w:b/>
      <w:bCs/>
    </w:rPr>
  </w:style>
  <w:style w:type="paragraph" w:styleId="af2">
    <w:name w:val="footnote text"/>
    <w:basedOn w:val="a"/>
    <w:link w:val="af3"/>
    <w:uiPriority w:val="99"/>
    <w:semiHidden/>
    <w:unhideWhenUsed/>
    <w:rsid w:val="00B43847"/>
    <w:pPr>
      <w:snapToGrid w:val="0"/>
    </w:pPr>
    <w:rPr>
      <w:sz w:val="20"/>
      <w:szCs w:val="20"/>
    </w:rPr>
  </w:style>
  <w:style w:type="character" w:customStyle="1" w:styleId="af3">
    <w:name w:val="註腳文字 字元"/>
    <w:basedOn w:val="a0"/>
    <w:link w:val="af2"/>
    <w:uiPriority w:val="99"/>
    <w:semiHidden/>
    <w:rsid w:val="00B43847"/>
    <w:rPr>
      <w:rFonts w:ascii="Calibri" w:eastAsia="新細明體" w:hAnsi="Calibri" w:cs="Times New Roman"/>
      <w:sz w:val="20"/>
      <w:szCs w:val="20"/>
    </w:rPr>
  </w:style>
  <w:style w:type="character" w:styleId="af4">
    <w:name w:val="footnote reference"/>
    <w:basedOn w:val="a0"/>
    <w:uiPriority w:val="99"/>
    <w:semiHidden/>
    <w:unhideWhenUsed/>
    <w:rsid w:val="00B43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m.wikipedia.org/wiki/%E9%BE%9C%E5%B1%B1%E5%8D%80" TargetMode="External"/><Relationship Id="rId13" Type="http://schemas.openxmlformats.org/officeDocument/2006/relationships/hyperlink" Target="https://zh.m.wikipedia.org/wiki/%E6%A5%8A%E6%A2%85%E5%8D%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h.m.wikipedia.org/wiki/%E5%A4%A7%E5%9C%92%E5%8D%80" TargetMode="External"/><Relationship Id="rId17" Type="http://schemas.openxmlformats.org/officeDocument/2006/relationships/hyperlink" Target="https://zh.m.wikipedia.org/wiki/%E6%96%B0%E5%B1%8B%E5%8D%80" TargetMode="External"/><Relationship Id="rId2" Type="http://schemas.openxmlformats.org/officeDocument/2006/relationships/numbering" Target="numbering.xml"/><Relationship Id="rId16" Type="http://schemas.openxmlformats.org/officeDocument/2006/relationships/hyperlink" Target="https://zh.m.wikipedia.org/wiki/%E8%A7%80%E9%9F%B3%E5%8D%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m.wikipedia.org/wiki/%E8%98%86%E7%AB%B9%E5%8D%80" TargetMode="External"/><Relationship Id="rId5" Type="http://schemas.openxmlformats.org/officeDocument/2006/relationships/webSettings" Target="webSettings.xml"/><Relationship Id="rId15" Type="http://schemas.openxmlformats.org/officeDocument/2006/relationships/hyperlink" Target="https://zh.m.wikipedia.org/wiki/%E9%BE%8D%E6%BD%AD%E5%8D%80_(%E5%8F%B0%E7%81%A3)" TargetMode="External"/><Relationship Id="rId10" Type="http://schemas.openxmlformats.org/officeDocument/2006/relationships/hyperlink" Target="https://zh.m.wikipedia.org/wiki/%E5%A4%A7%E6%BA%AA%E5%8D%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h.m.wikipedia.org/wiki/%E5%85%AB%E5%BE%B7%E5%8D%80" TargetMode="External"/><Relationship Id="rId14" Type="http://schemas.openxmlformats.org/officeDocument/2006/relationships/hyperlink" Target="https://zh.m.wikipedia.org/wiki/%E5%B9%B3%E9%8E%AE%E5%8D%8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2168-2A23-401F-BD80-AA6151C4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劉作耘</dc:creator>
  <cp:lastModifiedBy>李夏苹</cp:lastModifiedBy>
  <cp:revision>8</cp:revision>
  <cp:lastPrinted>2023-04-25T07:55:00Z</cp:lastPrinted>
  <dcterms:created xsi:type="dcterms:W3CDTF">2023-04-21T07:32:00Z</dcterms:created>
  <dcterms:modified xsi:type="dcterms:W3CDTF">2023-04-25T08:27:00Z</dcterms:modified>
</cp:coreProperties>
</file>