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E82A" w14:textId="0A62F1AC" w:rsidR="00087317" w:rsidRPr="00FA75DA" w:rsidRDefault="00E75B10" w:rsidP="00E75B10">
      <w:pPr>
        <w:jc w:val="center"/>
        <w:rPr>
          <w:rFonts w:ascii="標楷體" w:eastAsia="標楷體" w:hAnsi="標楷體"/>
          <w:b/>
          <w:sz w:val="32"/>
          <w:szCs w:val="32"/>
        </w:rPr>
      </w:pPr>
      <w:r w:rsidRPr="00FA75DA">
        <w:rPr>
          <w:rFonts w:ascii="標楷體" w:eastAsia="標楷體" w:hAnsi="標楷體" w:hint="eastAsia"/>
          <w:b/>
          <w:sz w:val="32"/>
          <w:szCs w:val="32"/>
        </w:rPr>
        <w:t>桃園市各區里基層工作經費實施要點</w:t>
      </w:r>
    </w:p>
    <w:p w14:paraId="71257BA1" w14:textId="77777777" w:rsidR="00E75B10" w:rsidRDefault="00E75B10" w:rsidP="004A42C5">
      <w:pPr>
        <w:jc w:val="right"/>
        <w:rPr>
          <w:rFonts w:ascii="標楷體" w:eastAsia="標楷體" w:hAnsi="標楷體"/>
        </w:rPr>
      </w:pPr>
      <w:r w:rsidRPr="00E75B10">
        <w:rPr>
          <w:rFonts w:ascii="標楷體" w:eastAsia="標楷體" w:hAnsi="標楷體" w:hint="eastAsia"/>
        </w:rPr>
        <w:t>中華民國</w:t>
      </w:r>
      <w:r>
        <w:rPr>
          <w:rFonts w:ascii="標楷體" w:eastAsia="標楷體" w:hAnsi="標楷體" w:hint="eastAsia"/>
        </w:rPr>
        <w:t>106年5月</w:t>
      </w:r>
      <w:r w:rsidR="00F54F46">
        <w:rPr>
          <w:rFonts w:ascii="標楷體" w:eastAsia="標楷體" w:hAnsi="標楷體" w:hint="eastAsia"/>
        </w:rPr>
        <w:t>10</w:t>
      </w:r>
      <w:r w:rsidR="00891DD3">
        <w:rPr>
          <w:rFonts w:ascii="標楷體" w:eastAsia="標楷體" w:hAnsi="標楷體" w:hint="eastAsia"/>
        </w:rPr>
        <w:t>日府民</w:t>
      </w:r>
      <w:proofErr w:type="gramStart"/>
      <w:r w:rsidR="00891DD3">
        <w:rPr>
          <w:rFonts w:ascii="標楷體" w:eastAsia="標楷體" w:hAnsi="標楷體" w:hint="eastAsia"/>
        </w:rPr>
        <w:t>區字第1060045661號函頒並</w:t>
      </w:r>
      <w:proofErr w:type="gramEnd"/>
      <w:r w:rsidR="00F54F46">
        <w:rPr>
          <w:rFonts w:ascii="標楷體" w:eastAsia="標楷體" w:hAnsi="標楷體" w:hint="eastAsia"/>
        </w:rPr>
        <w:t>自106年5月8日</w:t>
      </w:r>
      <w:r w:rsidR="00891DD3">
        <w:rPr>
          <w:rFonts w:ascii="標楷體" w:eastAsia="標楷體" w:hAnsi="標楷體" w:hint="eastAsia"/>
        </w:rPr>
        <w:t>生效</w:t>
      </w:r>
    </w:p>
    <w:p w14:paraId="4604D0BD" w14:textId="77777777" w:rsidR="00B752E5" w:rsidRDefault="00B752E5" w:rsidP="004A42C5">
      <w:pPr>
        <w:jc w:val="right"/>
        <w:rPr>
          <w:rFonts w:ascii="標楷體" w:eastAsia="標楷體" w:hAnsi="標楷體"/>
        </w:rPr>
      </w:pPr>
      <w:bookmarkStart w:id="0" w:name="_Hlk143160939"/>
      <w:r>
        <w:rPr>
          <w:rFonts w:ascii="標楷體" w:eastAsia="標楷體" w:hAnsi="標楷體"/>
        </w:rPr>
        <w:t>中華民國110年</w:t>
      </w:r>
      <w:r w:rsidR="004A42C5">
        <w:rPr>
          <w:rFonts w:ascii="標楷體" w:eastAsia="標楷體" w:hAnsi="標楷體"/>
        </w:rPr>
        <w:t>9</w:t>
      </w:r>
      <w:r>
        <w:rPr>
          <w:rFonts w:ascii="標楷體" w:eastAsia="標楷體" w:hAnsi="標楷體"/>
        </w:rPr>
        <w:t>月</w:t>
      </w:r>
      <w:r w:rsidR="004A42C5">
        <w:rPr>
          <w:rFonts w:ascii="標楷體" w:eastAsia="標楷體" w:hAnsi="標楷體"/>
        </w:rPr>
        <w:t>10</w:t>
      </w:r>
      <w:r>
        <w:rPr>
          <w:rFonts w:ascii="標楷體" w:eastAsia="標楷體" w:hAnsi="標楷體"/>
        </w:rPr>
        <w:t>日府</w:t>
      </w:r>
      <w:proofErr w:type="gramStart"/>
      <w:r>
        <w:rPr>
          <w:rFonts w:ascii="標楷體" w:eastAsia="標楷體" w:hAnsi="標楷體"/>
        </w:rPr>
        <w:t>民區字第</w:t>
      </w:r>
      <w:r w:rsidR="004A42C5">
        <w:rPr>
          <w:rFonts w:ascii="標楷體" w:eastAsia="標楷體" w:hAnsi="標楷體" w:hint="eastAsia"/>
        </w:rPr>
        <w:t>1100216415</w:t>
      </w:r>
      <w:r>
        <w:rPr>
          <w:rFonts w:ascii="標楷體" w:eastAsia="標楷體" w:hAnsi="標楷體"/>
        </w:rPr>
        <w:t>號</w:t>
      </w:r>
      <w:proofErr w:type="gramEnd"/>
      <w:r>
        <w:rPr>
          <w:rFonts w:ascii="標楷體" w:eastAsia="標楷體" w:hAnsi="標楷體"/>
        </w:rPr>
        <w:t>函修正第五點規定</w:t>
      </w:r>
      <w:bookmarkEnd w:id="0"/>
    </w:p>
    <w:p w14:paraId="1BFACE04" w14:textId="2E524882" w:rsidR="002D19C5" w:rsidRPr="00C2243E" w:rsidRDefault="002D19C5" w:rsidP="004A42C5">
      <w:pPr>
        <w:jc w:val="right"/>
        <w:rPr>
          <w:rFonts w:ascii="標楷體" w:eastAsia="標楷體" w:hAnsi="標楷體"/>
        </w:rPr>
      </w:pPr>
      <w:r w:rsidRPr="00C2243E">
        <w:rPr>
          <w:rFonts w:ascii="標楷體" w:eastAsia="標楷體" w:hAnsi="標楷體" w:hint="eastAsia"/>
        </w:rPr>
        <w:t>中華民國112年</w:t>
      </w:r>
      <w:r w:rsidR="00C2243E">
        <w:rPr>
          <w:rFonts w:ascii="標楷體" w:eastAsia="標楷體" w:hAnsi="標楷體" w:hint="eastAsia"/>
        </w:rPr>
        <w:t>11</w:t>
      </w:r>
      <w:r w:rsidRPr="00C2243E">
        <w:rPr>
          <w:rFonts w:ascii="標楷體" w:eastAsia="標楷體" w:hAnsi="標楷體" w:hint="eastAsia"/>
        </w:rPr>
        <w:t>月</w:t>
      </w:r>
      <w:r w:rsidR="0003586E">
        <w:rPr>
          <w:rFonts w:ascii="標楷體" w:eastAsia="標楷體" w:hAnsi="標楷體" w:hint="eastAsia"/>
        </w:rPr>
        <w:t>28</w:t>
      </w:r>
      <w:r w:rsidRPr="00C2243E">
        <w:rPr>
          <w:rFonts w:ascii="標楷體" w:eastAsia="標楷體" w:hAnsi="標楷體" w:hint="eastAsia"/>
        </w:rPr>
        <w:t>日府</w:t>
      </w:r>
      <w:proofErr w:type="gramStart"/>
      <w:r w:rsidRPr="00C2243E">
        <w:rPr>
          <w:rFonts w:ascii="標楷體" w:eastAsia="標楷體" w:hAnsi="標楷體" w:hint="eastAsia"/>
        </w:rPr>
        <w:t>民區字第</w:t>
      </w:r>
      <w:r w:rsidR="00C2243E">
        <w:rPr>
          <w:rFonts w:ascii="標楷體" w:eastAsia="標楷體" w:hAnsi="標楷體" w:hint="eastAsia"/>
        </w:rPr>
        <w:t>1120310967</w:t>
      </w:r>
      <w:r w:rsidRPr="00C2243E">
        <w:rPr>
          <w:rFonts w:ascii="標楷體" w:eastAsia="標楷體" w:hAnsi="標楷體" w:hint="eastAsia"/>
        </w:rPr>
        <w:t>號</w:t>
      </w:r>
      <w:proofErr w:type="gramEnd"/>
      <w:r w:rsidRPr="00C2243E">
        <w:rPr>
          <w:rFonts w:ascii="標楷體" w:eastAsia="標楷體" w:hAnsi="標楷體" w:hint="eastAsia"/>
        </w:rPr>
        <w:t>函修正第</w:t>
      </w:r>
      <w:r w:rsidR="00C300FC" w:rsidRPr="00C2243E">
        <w:rPr>
          <w:rFonts w:ascii="標楷體" w:eastAsia="標楷體" w:hAnsi="標楷體" w:hint="eastAsia"/>
        </w:rPr>
        <w:t>四</w:t>
      </w:r>
      <w:r w:rsidRPr="00C2243E">
        <w:rPr>
          <w:rFonts w:ascii="標楷體" w:eastAsia="標楷體" w:hAnsi="標楷體" w:hint="eastAsia"/>
        </w:rPr>
        <w:t>點</w:t>
      </w:r>
      <w:r w:rsidR="00C91030" w:rsidRPr="00C2243E">
        <w:rPr>
          <w:rFonts w:ascii="標楷體" w:eastAsia="標楷體" w:hAnsi="標楷體" w:hint="eastAsia"/>
        </w:rPr>
        <w:t>、第六點</w:t>
      </w:r>
      <w:r w:rsidRPr="00C2243E">
        <w:rPr>
          <w:rFonts w:ascii="標楷體" w:eastAsia="標楷體" w:hAnsi="標楷體" w:hint="eastAsia"/>
        </w:rPr>
        <w:t>規定</w:t>
      </w:r>
    </w:p>
    <w:p w14:paraId="41C8C93D" w14:textId="77777777" w:rsidR="00891DD3" w:rsidRPr="00FA75DA" w:rsidRDefault="00FA75DA" w:rsidP="00DF7D62">
      <w:pPr>
        <w:pStyle w:val="a3"/>
        <w:numPr>
          <w:ilvl w:val="0"/>
          <w:numId w:val="1"/>
        </w:numPr>
        <w:spacing w:line="520" w:lineRule="exact"/>
        <w:ind w:leftChars="0" w:left="602" w:hanging="602"/>
        <w:rPr>
          <w:rFonts w:ascii="標楷體" w:eastAsia="標楷體" w:hAnsi="標楷體"/>
        </w:rPr>
      </w:pPr>
      <w:r w:rsidRPr="00FA75DA">
        <w:rPr>
          <w:rFonts w:ascii="標楷體" w:eastAsia="標楷體" w:hAnsi="標楷體" w:hint="eastAsia"/>
          <w:color w:val="000000"/>
          <w:sz w:val="28"/>
          <w:szCs w:val="28"/>
        </w:rPr>
        <w:t>桃園市政府(以下簡稱本府)為落實里基層工作經費(以下簡稱本經費)之執行，特訂定本要點。</w:t>
      </w:r>
    </w:p>
    <w:p w14:paraId="4EDCF630" w14:textId="77777777" w:rsidR="00FA75DA" w:rsidRPr="00FA75DA" w:rsidRDefault="00FA75DA" w:rsidP="00DF7D62">
      <w:pPr>
        <w:pStyle w:val="a3"/>
        <w:numPr>
          <w:ilvl w:val="0"/>
          <w:numId w:val="1"/>
        </w:numPr>
        <w:spacing w:line="520" w:lineRule="exact"/>
        <w:ind w:leftChars="0" w:left="588" w:hanging="588"/>
        <w:rPr>
          <w:rFonts w:ascii="標楷體" w:eastAsia="標楷體" w:hAnsi="標楷體"/>
        </w:rPr>
      </w:pPr>
      <w:r w:rsidRPr="00C07885">
        <w:rPr>
          <w:rFonts w:ascii="標楷體" w:eastAsia="標楷體" w:hAnsi="標楷體" w:hint="eastAsia"/>
          <w:color w:val="000000"/>
          <w:sz w:val="28"/>
          <w:szCs w:val="28"/>
        </w:rPr>
        <w:t>本要點之執行機關為本市各區公所。</w:t>
      </w:r>
    </w:p>
    <w:p w14:paraId="0DDD5ECA" w14:textId="77777777" w:rsidR="00FA75DA" w:rsidRPr="00FA75DA" w:rsidRDefault="00FA75DA" w:rsidP="00DF7D62">
      <w:pPr>
        <w:pStyle w:val="a3"/>
        <w:numPr>
          <w:ilvl w:val="0"/>
          <w:numId w:val="1"/>
        </w:numPr>
        <w:spacing w:line="520" w:lineRule="exact"/>
        <w:ind w:leftChars="0" w:left="574" w:hanging="574"/>
        <w:rPr>
          <w:rFonts w:ascii="標楷體" w:eastAsia="標楷體" w:hAnsi="標楷體"/>
        </w:rPr>
      </w:pPr>
      <w:r>
        <w:rPr>
          <w:rFonts w:ascii="標楷體" w:eastAsia="標楷體" w:hAnsi="標楷體" w:hint="eastAsia"/>
          <w:color w:val="000000"/>
          <w:sz w:val="28"/>
          <w:szCs w:val="28"/>
        </w:rPr>
        <w:t>本經費實施</w:t>
      </w:r>
      <w:r w:rsidRPr="00C07885">
        <w:rPr>
          <w:rFonts w:ascii="標楷體" w:eastAsia="標楷體" w:hAnsi="標楷體" w:hint="eastAsia"/>
          <w:color w:val="000000"/>
          <w:sz w:val="28"/>
          <w:szCs w:val="28"/>
        </w:rPr>
        <w:t>項目如下：</w:t>
      </w:r>
    </w:p>
    <w:p w14:paraId="008A2C93" w14:textId="77777777" w:rsidR="00FA75DA" w:rsidRPr="00FA75DA" w:rsidRDefault="00FA75DA" w:rsidP="00DF7D62">
      <w:pPr>
        <w:pStyle w:val="a3"/>
        <w:numPr>
          <w:ilvl w:val="0"/>
          <w:numId w:val="2"/>
        </w:numPr>
        <w:spacing w:line="520" w:lineRule="exact"/>
        <w:ind w:leftChars="0" w:left="1064" w:hanging="584"/>
        <w:rPr>
          <w:rFonts w:ascii="標楷體" w:eastAsia="標楷體" w:hAnsi="標楷體"/>
        </w:rPr>
      </w:pPr>
      <w:r w:rsidRPr="00C07885">
        <w:rPr>
          <w:rFonts w:ascii="標楷體" w:eastAsia="標楷體" w:hAnsi="標楷體" w:hint="eastAsia"/>
          <w:color w:val="000000"/>
          <w:sz w:val="28"/>
          <w:szCs w:val="28"/>
        </w:rPr>
        <w:t>里環境清潔</w:t>
      </w:r>
      <w:r>
        <w:rPr>
          <w:rFonts w:ascii="標楷體" w:eastAsia="標楷體" w:hAnsi="標楷體" w:hint="eastAsia"/>
          <w:color w:val="000000"/>
          <w:sz w:val="28"/>
          <w:szCs w:val="28"/>
        </w:rPr>
        <w:t>。</w:t>
      </w:r>
    </w:p>
    <w:p w14:paraId="4FDCB7ED" w14:textId="77777777" w:rsidR="00FA75DA" w:rsidRPr="00C07885" w:rsidRDefault="00FA75DA" w:rsidP="00DF7D62">
      <w:pPr>
        <w:numPr>
          <w:ilvl w:val="0"/>
          <w:numId w:val="2"/>
        </w:numPr>
        <w:spacing w:line="520" w:lineRule="exact"/>
        <w:ind w:left="1064" w:hanging="584"/>
        <w:rPr>
          <w:rFonts w:ascii="標楷體" w:eastAsia="標楷體" w:hAnsi="標楷體"/>
          <w:color w:val="000000"/>
          <w:sz w:val="28"/>
          <w:szCs w:val="28"/>
        </w:rPr>
      </w:pPr>
      <w:r w:rsidRPr="00C07885">
        <w:rPr>
          <w:rFonts w:ascii="標楷體" w:eastAsia="標楷體" w:hAnsi="標楷體" w:hint="eastAsia"/>
          <w:color w:val="000000"/>
          <w:sz w:val="28"/>
          <w:szCs w:val="28"/>
        </w:rPr>
        <w:t>路燈照明。</w:t>
      </w:r>
    </w:p>
    <w:p w14:paraId="6188E599" w14:textId="77777777" w:rsidR="00FA75DA" w:rsidRPr="00C07885" w:rsidRDefault="00FA75DA" w:rsidP="00DF7D62">
      <w:pPr>
        <w:numPr>
          <w:ilvl w:val="0"/>
          <w:numId w:val="2"/>
        </w:numPr>
        <w:spacing w:line="520" w:lineRule="exact"/>
        <w:ind w:left="1064" w:hanging="584"/>
        <w:rPr>
          <w:rFonts w:ascii="標楷體" w:eastAsia="標楷體" w:hAnsi="標楷體"/>
          <w:color w:val="000000"/>
          <w:sz w:val="28"/>
          <w:szCs w:val="28"/>
        </w:rPr>
      </w:pPr>
      <w:r w:rsidRPr="00C07885">
        <w:rPr>
          <w:rFonts w:ascii="標楷體" w:eastAsia="標楷體" w:hAnsi="標楷體" w:hint="eastAsia"/>
          <w:color w:val="000000"/>
          <w:sz w:val="28"/>
          <w:szCs w:val="28"/>
        </w:rPr>
        <w:t>溝渠疏通。</w:t>
      </w:r>
    </w:p>
    <w:p w14:paraId="5BDD1677" w14:textId="77777777" w:rsidR="00FA75DA" w:rsidRPr="00C07885" w:rsidRDefault="00FA75DA" w:rsidP="00DF7D62">
      <w:pPr>
        <w:numPr>
          <w:ilvl w:val="0"/>
          <w:numId w:val="2"/>
        </w:numPr>
        <w:spacing w:line="520" w:lineRule="exact"/>
        <w:ind w:left="1064" w:hanging="584"/>
        <w:rPr>
          <w:rFonts w:ascii="標楷體" w:eastAsia="標楷體" w:hAnsi="標楷體"/>
          <w:color w:val="000000"/>
          <w:sz w:val="28"/>
          <w:szCs w:val="28"/>
        </w:rPr>
      </w:pPr>
      <w:r w:rsidRPr="00C07885">
        <w:rPr>
          <w:rFonts w:ascii="標楷體" w:eastAsia="標楷體" w:hAnsi="標楷體" w:hint="eastAsia"/>
          <w:color w:val="000000"/>
          <w:sz w:val="28"/>
          <w:szCs w:val="28"/>
        </w:rPr>
        <w:t>里守望相助。</w:t>
      </w:r>
    </w:p>
    <w:p w14:paraId="4BB3C50C" w14:textId="77777777" w:rsidR="00FA75DA" w:rsidRPr="00C07885" w:rsidRDefault="00FA75DA" w:rsidP="00DF7D62">
      <w:pPr>
        <w:numPr>
          <w:ilvl w:val="0"/>
          <w:numId w:val="2"/>
        </w:numPr>
        <w:spacing w:line="520" w:lineRule="exact"/>
        <w:ind w:left="1064" w:hanging="584"/>
        <w:rPr>
          <w:rFonts w:ascii="標楷體" w:eastAsia="標楷體" w:hAnsi="標楷體"/>
          <w:color w:val="000000"/>
          <w:sz w:val="28"/>
          <w:szCs w:val="28"/>
        </w:rPr>
      </w:pPr>
      <w:r w:rsidRPr="00C07885">
        <w:rPr>
          <w:rFonts w:ascii="標楷體" w:eastAsia="標楷體" w:hAnsi="標楷體" w:hint="eastAsia"/>
          <w:color w:val="000000"/>
          <w:sz w:val="28"/>
          <w:szCs w:val="28"/>
        </w:rPr>
        <w:t>災害防救。</w:t>
      </w:r>
    </w:p>
    <w:p w14:paraId="4A9B33D4" w14:textId="77777777" w:rsidR="00FA75DA" w:rsidRPr="00C07885" w:rsidRDefault="00FA75DA" w:rsidP="00DF7D62">
      <w:pPr>
        <w:numPr>
          <w:ilvl w:val="0"/>
          <w:numId w:val="2"/>
        </w:numPr>
        <w:spacing w:line="520" w:lineRule="exact"/>
        <w:ind w:left="1064" w:hanging="584"/>
        <w:rPr>
          <w:rFonts w:ascii="標楷體" w:eastAsia="標楷體" w:hAnsi="標楷體"/>
          <w:color w:val="000000"/>
          <w:sz w:val="28"/>
          <w:szCs w:val="28"/>
        </w:rPr>
      </w:pPr>
      <w:r w:rsidRPr="00C07885">
        <w:rPr>
          <w:rFonts w:ascii="標楷體" w:eastAsia="標楷體" w:hAnsi="標楷體" w:hint="eastAsia"/>
          <w:color w:val="000000"/>
          <w:sz w:val="28"/>
          <w:szCs w:val="28"/>
        </w:rPr>
        <w:t>里公務設備。</w:t>
      </w:r>
    </w:p>
    <w:p w14:paraId="3F201705" w14:textId="77777777" w:rsidR="00FA75DA" w:rsidRPr="00FA75DA" w:rsidRDefault="00FA75DA" w:rsidP="00DF7D62">
      <w:pPr>
        <w:pStyle w:val="a3"/>
        <w:numPr>
          <w:ilvl w:val="0"/>
          <w:numId w:val="2"/>
        </w:numPr>
        <w:spacing w:line="520" w:lineRule="exact"/>
        <w:ind w:leftChars="0" w:left="1064" w:hanging="584"/>
        <w:rPr>
          <w:rFonts w:ascii="標楷體" w:eastAsia="標楷體" w:hAnsi="標楷體"/>
        </w:rPr>
      </w:pPr>
      <w:r w:rsidRPr="00C07885">
        <w:rPr>
          <w:rFonts w:ascii="標楷體" w:eastAsia="標楷體" w:hAnsi="標楷體" w:hint="eastAsia"/>
          <w:color w:val="000000"/>
          <w:sz w:val="28"/>
          <w:szCs w:val="28"/>
        </w:rPr>
        <w:t>其他</w:t>
      </w:r>
      <w:r>
        <w:rPr>
          <w:rFonts w:ascii="標楷體" w:eastAsia="標楷體" w:hAnsi="標楷體" w:hint="eastAsia"/>
          <w:color w:val="000000"/>
          <w:sz w:val="28"/>
          <w:szCs w:val="28"/>
        </w:rPr>
        <w:t>。</w:t>
      </w:r>
    </w:p>
    <w:p w14:paraId="33255C93" w14:textId="351BD39D" w:rsidR="00F07C27" w:rsidRPr="0003586E" w:rsidRDefault="00FA75DA" w:rsidP="00F07C27">
      <w:pPr>
        <w:pStyle w:val="a3"/>
        <w:numPr>
          <w:ilvl w:val="0"/>
          <w:numId w:val="1"/>
        </w:numPr>
        <w:spacing w:line="520" w:lineRule="exact"/>
        <w:ind w:leftChars="0" w:left="560" w:hanging="560"/>
        <w:rPr>
          <w:rFonts w:ascii="標楷體" w:eastAsia="標楷體" w:hAnsi="標楷體"/>
          <w:sz w:val="28"/>
          <w:szCs w:val="28"/>
        </w:rPr>
      </w:pPr>
      <w:r w:rsidRPr="00E01C7F">
        <w:rPr>
          <w:rFonts w:ascii="標楷體" w:eastAsia="標楷體" w:hAnsi="標楷體" w:hint="eastAsia"/>
          <w:sz w:val="28"/>
          <w:szCs w:val="28"/>
        </w:rPr>
        <w:t>本經費以里為單位，於里區域內實施，由里長自行勘查或鄰長、里幹事查報，並填寫查報表及動</w:t>
      </w:r>
      <w:r w:rsidRPr="006520BD">
        <w:rPr>
          <w:rFonts w:ascii="標楷體" w:eastAsia="標楷體" w:hAnsi="標楷體" w:hint="eastAsia"/>
          <w:sz w:val="28"/>
          <w:szCs w:val="28"/>
        </w:rPr>
        <w:t>支經費申</w:t>
      </w:r>
      <w:r w:rsidRPr="0003586E">
        <w:rPr>
          <w:rFonts w:ascii="標楷體" w:eastAsia="標楷體" w:hAnsi="標楷體" w:hint="eastAsia"/>
          <w:sz w:val="28"/>
          <w:szCs w:val="28"/>
        </w:rPr>
        <w:t>請表，報請區公所核定後實施。但實施經費在新臺幣一萬元以上者，</w:t>
      </w:r>
      <w:r w:rsidR="00E01C7F" w:rsidRPr="0003586E">
        <w:rPr>
          <w:rFonts w:ascii="標楷體" w:eastAsia="標楷體" w:hAnsi="標楷體" w:hint="eastAsia"/>
          <w:sz w:val="28"/>
          <w:szCs w:val="28"/>
        </w:rPr>
        <w:t>經</w:t>
      </w:r>
      <w:r w:rsidRPr="0003586E">
        <w:rPr>
          <w:rFonts w:ascii="標楷體" w:eastAsia="標楷體" w:hAnsi="標楷體" w:hint="eastAsia"/>
          <w:sz w:val="28"/>
          <w:szCs w:val="28"/>
        </w:rPr>
        <w:t>區公所</w:t>
      </w:r>
      <w:r w:rsidR="00E01C7F" w:rsidRPr="0003586E">
        <w:rPr>
          <w:rFonts w:ascii="標楷體" w:eastAsia="標楷體" w:hAnsi="標楷體" w:hint="eastAsia"/>
          <w:sz w:val="28"/>
          <w:szCs w:val="28"/>
        </w:rPr>
        <w:t>審酌實施項目有採購必要者，</w:t>
      </w:r>
      <w:r w:rsidRPr="0003586E">
        <w:rPr>
          <w:rFonts w:ascii="標楷體" w:eastAsia="標楷體" w:hAnsi="標楷體" w:hint="eastAsia"/>
          <w:sz w:val="28"/>
          <w:szCs w:val="28"/>
        </w:rPr>
        <w:t>依政府採購法等相關規定辦理。</w:t>
      </w:r>
    </w:p>
    <w:p w14:paraId="19AACC04" w14:textId="77777777" w:rsidR="00F07C27" w:rsidRPr="0003586E" w:rsidRDefault="00FA75DA" w:rsidP="00F07C27">
      <w:pPr>
        <w:pStyle w:val="a3"/>
        <w:spacing w:line="520" w:lineRule="exact"/>
        <w:ind w:leftChars="0" w:left="560"/>
        <w:rPr>
          <w:rFonts w:ascii="標楷體" w:eastAsia="標楷體" w:hAnsi="標楷體"/>
          <w:sz w:val="28"/>
          <w:szCs w:val="28"/>
        </w:rPr>
      </w:pPr>
      <w:r w:rsidRPr="0003586E">
        <w:rPr>
          <w:rFonts w:ascii="標楷體" w:eastAsia="標楷體" w:hAnsi="標楷體" w:hint="eastAsia"/>
          <w:sz w:val="28"/>
          <w:szCs w:val="28"/>
        </w:rPr>
        <w:t>前項查報得由里民向</w:t>
      </w:r>
      <w:proofErr w:type="gramStart"/>
      <w:r w:rsidRPr="0003586E">
        <w:rPr>
          <w:rFonts w:ascii="標楷體" w:eastAsia="標楷體" w:hAnsi="標楷體" w:hint="eastAsia"/>
          <w:sz w:val="28"/>
          <w:szCs w:val="28"/>
        </w:rPr>
        <w:t>鄰長或里辦公處</w:t>
      </w:r>
      <w:proofErr w:type="gramEnd"/>
      <w:r w:rsidRPr="0003586E">
        <w:rPr>
          <w:rFonts w:ascii="標楷體" w:eastAsia="標楷體" w:hAnsi="標楷體" w:hint="eastAsia"/>
          <w:sz w:val="28"/>
          <w:szCs w:val="28"/>
        </w:rPr>
        <w:t>反映，經里長實地勘查，</w:t>
      </w:r>
      <w:proofErr w:type="gramStart"/>
      <w:r w:rsidRPr="0003586E">
        <w:rPr>
          <w:rFonts w:ascii="標楷體" w:eastAsia="標楷體" w:hAnsi="標楷體" w:hint="eastAsia"/>
          <w:sz w:val="28"/>
          <w:szCs w:val="28"/>
        </w:rPr>
        <w:t>核屬前</w:t>
      </w:r>
      <w:proofErr w:type="gramEnd"/>
      <w:r w:rsidRPr="0003586E">
        <w:rPr>
          <w:rFonts w:ascii="標楷體" w:eastAsia="標楷體" w:hAnsi="標楷體" w:hint="eastAsia"/>
          <w:sz w:val="28"/>
          <w:szCs w:val="28"/>
        </w:rPr>
        <w:t>點實施項目工作範圍者，依前項程序辦理。</w:t>
      </w:r>
    </w:p>
    <w:p w14:paraId="2947C06E" w14:textId="0CEDCBA9" w:rsidR="00FA75DA" w:rsidRPr="006520BD" w:rsidRDefault="00FA75DA" w:rsidP="00F07C27">
      <w:pPr>
        <w:pStyle w:val="a3"/>
        <w:spacing w:line="520" w:lineRule="exact"/>
        <w:ind w:leftChars="0" w:left="560"/>
        <w:rPr>
          <w:rFonts w:ascii="標楷體" w:eastAsia="標楷體" w:hAnsi="標楷體"/>
        </w:rPr>
      </w:pPr>
      <w:r w:rsidRPr="0003586E">
        <w:rPr>
          <w:rFonts w:ascii="標楷體" w:eastAsia="標楷體" w:hAnsi="標楷體" w:hint="eastAsia"/>
          <w:sz w:val="28"/>
          <w:szCs w:val="28"/>
        </w:rPr>
        <w:t>里辦公處應將本經費每月執行情形於</w:t>
      </w:r>
      <w:r w:rsidRPr="006520BD">
        <w:rPr>
          <w:rFonts w:ascii="標楷體" w:eastAsia="標楷體" w:hAnsi="標楷體" w:hint="eastAsia"/>
          <w:sz w:val="28"/>
          <w:szCs w:val="28"/>
        </w:rPr>
        <w:t>鄰長會議提出報告，張貼於里辦公處門首或公告欄公告周知，並報請區公所備查。</w:t>
      </w:r>
    </w:p>
    <w:p w14:paraId="40AE1547" w14:textId="77777777" w:rsidR="007252B3" w:rsidRPr="006520BD" w:rsidRDefault="007252B3" w:rsidP="00DF7D62">
      <w:pPr>
        <w:pStyle w:val="a3"/>
        <w:numPr>
          <w:ilvl w:val="0"/>
          <w:numId w:val="7"/>
        </w:numPr>
        <w:spacing w:line="520" w:lineRule="exact"/>
        <w:ind w:leftChars="0" w:left="560" w:hanging="560"/>
        <w:rPr>
          <w:rFonts w:ascii="標楷體" w:eastAsia="標楷體" w:hAnsi="標楷體"/>
        </w:rPr>
      </w:pPr>
      <w:r w:rsidRPr="006520BD">
        <w:rPr>
          <w:rFonts w:ascii="標楷體" w:eastAsia="標楷體" w:hAnsi="標楷體" w:hint="eastAsia"/>
          <w:sz w:val="28"/>
          <w:szCs w:val="28"/>
        </w:rPr>
        <w:t>本經費之執行，應依下列規定辦理：</w:t>
      </w:r>
    </w:p>
    <w:p w14:paraId="71730C0C" w14:textId="77777777" w:rsidR="007252B3" w:rsidRPr="006520BD" w:rsidRDefault="00DF7D62" w:rsidP="00B752E5">
      <w:pPr>
        <w:pStyle w:val="a3"/>
        <w:numPr>
          <w:ilvl w:val="0"/>
          <w:numId w:val="8"/>
        </w:numPr>
        <w:spacing w:line="520" w:lineRule="exact"/>
        <w:ind w:leftChars="0" w:left="1134" w:hanging="567"/>
        <w:rPr>
          <w:rFonts w:ascii="標楷體" w:eastAsia="標楷體" w:hAnsi="標楷體"/>
        </w:rPr>
      </w:pPr>
      <w:r w:rsidRPr="006520BD">
        <w:rPr>
          <w:rFonts w:ascii="標楷體" w:eastAsia="標楷體" w:hAnsi="標楷體" w:hint="eastAsia"/>
          <w:sz w:val="28"/>
          <w:szCs w:val="28"/>
        </w:rPr>
        <w:t>各項實施項目，各區公所已辦理公務預算維護或維修者，各里辦公處不得再行辦理。</w:t>
      </w:r>
      <w:r w:rsidR="00B752E5" w:rsidRPr="006520BD">
        <w:rPr>
          <w:rFonts w:ascii="標楷體" w:eastAsia="標楷體" w:hAnsi="標楷體" w:hint="eastAsia"/>
          <w:sz w:val="28"/>
          <w:szCs w:val="28"/>
        </w:rPr>
        <w:t>但實施項目</w:t>
      </w:r>
      <w:r w:rsidR="00EE5AF9" w:rsidRPr="006520BD">
        <w:rPr>
          <w:rFonts w:ascii="標楷體" w:eastAsia="標楷體" w:hAnsi="標楷體" w:hint="eastAsia"/>
          <w:sz w:val="28"/>
          <w:szCs w:val="28"/>
        </w:rPr>
        <w:t>本府各機關</w:t>
      </w:r>
      <w:r w:rsidR="00B752E5" w:rsidRPr="006520BD">
        <w:rPr>
          <w:rFonts w:ascii="標楷體" w:eastAsia="標楷體" w:hAnsi="標楷體" w:hint="eastAsia"/>
          <w:sz w:val="28"/>
          <w:szCs w:val="28"/>
        </w:rPr>
        <w:t>相關公務預算已執行完畢或報本府專案核准者，不在此限。</w:t>
      </w:r>
    </w:p>
    <w:p w14:paraId="65A21E98" w14:textId="77777777" w:rsidR="00DF7D62" w:rsidRPr="006520BD" w:rsidRDefault="00DF7D62" w:rsidP="00DF7D62">
      <w:pPr>
        <w:pStyle w:val="a3"/>
        <w:numPr>
          <w:ilvl w:val="0"/>
          <w:numId w:val="8"/>
        </w:numPr>
        <w:spacing w:line="520" w:lineRule="exact"/>
        <w:ind w:leftChars="0" w:left="1148" w:hanging="587"/>
        <w:rPr>
          <w:rFonts w:ascii="標楷體" w:eastAsia="標楷體" w:hAnsi="標楷體"/>
          <w:sz w:val="28"/>
          <w:szCs w:val="28"/>
        </w:rPr>
      </w:pPr>
      <w:r w:rsidRPr="006520BD">
        <w:rPr>
          <w:rFonts w:ascii="標楷體" w:eastAsia="標楷體" w:hAnsi="標楷體" w:hint="eastAsia"/>
          <w:sz w:val="28"/>
          <w:szCs w:val="28"/>
        </w:rPr>
        <w:lastRenderedPageBreak/>
        <w:t>公有財產購置，應由區公所參照當年度桃園市各機關預算共同性費用編列基準統一規定採購配置，並由區公所辦理財產(物品)登記</w:t>
      </w:r>
      <w:proofErr w:type="gramStart"/>
      <w:r w:rsidRPr="006520BD">
        <w:rPr>
          <w:rFonts w:ascii="標楷體" w:eastAsia="標楷體" w:hAnsi="標楷體" w:hint="eastAsia"/>
          <w:sz w:val="28"/>
          <w:szCs w:val="28"/>
        </w:rPr>
        <w:t>入帳</w:t>
      </w:r>
      <w:proofErr w:type="gramEnd"/>
      <w:r w:rsidRPr="006520BD">
        <w:rPr>
          <w:rFonts w:ascii="標楷體" w:eastAsia="標楷體" w:hAnsi="標楷體" w:hint="eastAsia"/>
          <w:sz w:val="28"/>
          <w:szCs w:val="28"/>
        </w:rPr>
        <w:t>管理，且列入里辦公處財產(物品)移交清冊。</w:t>
      </w:r>
    </w:p>
    <w:p w14:paraId="177C9F56" w14:textId="77777777" w:rsidR="00DF7D62" w:rsidRPr="006520BD" w:rsidRDefault="00DF7D62" w:rsidP="00DF7D62">
      <w:pPr>
        <w:pStyle w:val="a3"/>
        <w:numPr>
          <w:ilvl w:val="0"/>
          <w:numId w:val="8"/>
        </w:numPr>
        <w:spacing w:line="520" w:lineRule="exact"/>
        <w:ind w:leftChars="0" w:left="1162" w:hanging="601"/>
        <w:rPr>
          <w:rFonts w:ascii="標楷體" w:eastAsia="標楷體" w:hAnsi="標楷體"/>
        </w:rPr>
      </w:pPr>
      <w:r w:rsidRPr="006520BD">
        <w:rPr>
          <w:rFonts w:ascii="標楷體" w:eastAsia="標楷體" w:hAnsi="標楷體" w:hint="eastAsia"/>
          <w:sz w:val="28"/>
          <w:szCs w:val="28"/>
        </w:rPr>
        <w:t>財產(物品)管理由區公所依桃園市市有財產</w:t>
      </w:r>
      <w:proofErr w:type="gramStart"/>
      <w:r w:rsidRPr="006520BD">
        <w:rPr>
          <w:rFonts w:ascii="標楷體" w:eastAsia="標楷體" w:hAnsi="標楷體" w:hint="eastAsia"/>
          <w:sz w:val="28"/>
          <w:szCs w:val="28"/>
        </w:rPr>
        <w:t>產</w:t>
      </w:r>
      <w:proofErr w:type="gramEnd"/>
      <w:r w:rsidRPr="006520BD">
        <w:rPr>
          <w:rFonts w:ascii="標楷體" w:eastAsia="標楷體" w:hAnsi="標楷體" w:hint="eastAsia"/>
          <w:sz w:val="28"/>
          <w:szCs w:val="28"/>
        </w:rPr>
        <w:t>籍管理作業手冊之相關規定辦理。</w:t>
      </w:r>
    </w:p>
    <w:p w14:paraId="22F97239" w14:textId="77777777" w:rsidR="00DF7D62" w:rsidRPr="006520BD" w:rsidRDefault="00DF7D62" w:rsidP="00DF7D62">
      <w:pPr>
        <w:pStyle w:val="a3"/>
        <w:numPr>
          <w:ilvl w:val="0"/>
          <w:numId w:val="12"/>
        </w:numPr>
        <w:spacing w:line="520" w:lineRule="exact"/>
        <w:ind w:leftChars="0" w:left="574" w:hanging="588"/>
        <w:rPr>
          <w:rFonts w:ascii="標楷體" w:eastAsia="標楷體" w:hAnsi="標楷體"/>
        </w:rPr>
      </w:pPr>
      <w:r w:rsidRPr="006520BD">
        <w:rPr>
          <w:rFonts w:ascii="標楷體" w:eastAsia="標楷體" w:hAnsi="標楷體" w:hint="eastAsia"/>
          <w:sz w:val="28"/>
          <w:szCs w:val="28"/>
        </w:rPr>
        <w:t>本經費由各區公所每年度以每里每月新臺幣五萬元編列預算支應。但復興區由本府編列預算補助二分之一財源。</w:t>
      </w:r>
    </w:p>
    <w:p w14:paraId="569FAF3A" w14:textId="5A3FD640" w:rsidR="00DF7D62" w:rsidRPr="0003586E" w:rsidRDefault="00DF7D62" w:rsidP="00DF7D62">
      <w:pPr>
        <w:spacing w:line="520" w:lineRule="exact"/>
        <w:ind w:leftChars="235" w:left="565" w:hanging="1"/>
        <w:rPr>
          <w:rFonts w:ascii="標楷體" w:eastAsia="標楷體" w:hAnsi="標楷體"/>
          <w:sz w:val="28"/>
          <w:szCs w:val="28"/>
        </w:rPr>
      </w:pPr>
      <w:r w:rsidRPr="006520BD">
        <w:rPr>
          <w:rFonts w:ascii="標楷體" w:eastAsia="標楷體" w:hAnsi="標楷體" w:hint="eastAsia"/>
          <w:sz w:val="28"/>
          <w:szCs w:val="28"/>
        </w:rPr>
        <w:t>前項預算由各區公所調查里辦公處需求並分類後，參考轄區特性編列經常</w:t>
      </w:r>
      <w:r w:rsidRPr="0003586E">
        <w:rPr>
          <w:rFonts w:ascii="標楷體" w:eastAsia="標楷體" w:hAnsi="標楷體" w:hint="eastAsia"/>
          <w:sz w:val="28"/>
          <w:szCs w:val="28"/>
        </w:rPr>
        <w:t>門及資本門經費。</w:t>
      </w:r>
    </w:p>
    <w:p w14:paraId="7F2466DF" w14:textId="6CB0C59A" w:rsidR="0063281B" w:rsidRPr="0003586E" w:rsidRDefault="00DF7D62" w:rsidP="00E646AC">
      <w:pPr>
        <w:spacing w:line="520" w:lineRule="exact"/>
        <w:ind w:leftChars="236" w:left="567" w:hanging="1"/>
        <w:jc w:val="both"/>
        <w:rPr>
          <w:rFonts w:ascii="標楷體" w:eastAsia="標楷體" w:hAnsi="標楷體"/>
          <w:sz w:val="28"/>
          <w:szCs w:val="28"/>
        </w:rPr>
      </w:pPr>
      <w:r w:rsidRPr="0003586E">
        <w:rPr>
          <w:rFonts w:ascii="標楷體" w:eastAsia="標楷體" w:hAnsi="標楷體" w:hint="eastAsia"/>
          <w:sz w:val="28"/>
          <w:szCs w:val="28"/>
        </w:rPr>
        <w:t>各區公所應在法定預算額度內核實分配預算執行，</w:t>
      </w:r>
      <w:proofErr w:type="gramStart"/>
      <w:r w:rsidR="000A4526" w:rsidRPr="0003586E">
        <w:rPr>
          <w:rFonts w:ascii="標楷體" w:eastAsia="標楷體" w:hAnsi="標楷體" w:hint="eastAsia"/>
          <w:sz w:val="28"/>
          <w:szCs w:val="28"/>
        </w:rPr>
        <w:t>且轄內</w:t>
      </w:r>
      <w:proofErr w:type="gramEnd"/>
      <w:r w:rsidR="000A4526" w:rsidRPr="0003586E">
        <w:rPr>
          <w:rFonts w:ascii="標楷體" w:eastAsia="標楷體" w:hAnsi="標楷體" w:hint="eastAsia"/>
          <w:sz w:val="28"/>
          <w:szCs w:val="28"/>
        </w:rPr>
        <w:t>各里經費執行不得逾年度預算。但就經費</w:t>
      </w:r>
      <w:proofErr w:type="gramStart"/>
      <w:r w:rsidR="000A4526" w:rsidRPr="0003586E">
        <w:rPr>
          <w:rFonts w:ascii="標楷體" w:eastAsia="標楷體" w:hAnsi="標楷體" w:hint="eastAsia"/>
          <w:sz w:val="28"/>
          <w:szCs w:val="28"/>
        </w:rPr>
        <w:t>用罄仍有</w:t>
      </w:r>
      <w:proofErr w:type="gramEnd"/>
      <w:r w:rsidR="000A4526" w:rsidRPr="0003586E">
        <w:rPr>
          <w:rFonts w:ascii="標楷體" w:eastAsia="標楷體" w:hAnsi="標楷體" w:hint="eastAsia"/>
          <w:sz w:val="28"/>
          <w:szCs w:val="28"/>
        </w:rPr>
        <w:t>資本門建設需求</w:t>
      </w:r>
      <w:proofErr w:type="gramStart"/>
      <w:r w:rsidR="000A4526" w:rsidRPr="0003586E">
        <w:rPr>
          <w:rFonts w:ascii="標楷體" w:eastAsia="標楷體" w:hAnsi="標楷體" w:hint="eastAsia"/>
          <w:sz w:val="28"/>
          <w:szCs w:val="28"/>
        </w:rPr>
        <w:t>之里別</w:t>
      </w:r>
      <w:proofErr w:type="gramEnd"/>
      <w:r w:rsidR="000A4526" w:rsidRPr="0003586E">
        <w:rPr>
          <w:rFonts w:ascii="標楷體" w:eastAsia="標楷體" w:hAnsi="標楷體" w:hint="eastAsia"/>
          <w:sz w:val="28"/>
          <w:szCs w:val="28"/>
        </w:rPr>
        <w:t>，各區公所得於年度終了前二</w:t>
      </w:r>
      <w:proofErr w:type="gramStart"/>
      <w:r w:rsidR="000A4526" w:rsidRPr="0003586E">
        <w:rPr>
          <w:rFonts w:ascii="標楷體" w:eastAsia="標楷體" w:hAnsi="標楷體" w:hint="eastAsia"/>
          <w:sz w:val="28"/>
          <w:szCs w:val="28"/>
        </w:rPr>
        <w:t>個</w:t>
      </w:r>
      <w:proofErr w:type="gramEnd"/>
      <w:r w:rsidR="000A4526" w:rsidRPr="0003586E">
        <w:rPr>
          <w:rFonts w:ascii="標楷體" w:eastAsia="標楷體" w:hAnsi="標楷體" w:hint="eastAsia"/>
          <w:sz w:val="28"/>
          <w:szCs w:val="28"/>
        </w:rPr>
        <w:t>月，每里以新臺幣五萬元為限，函報本府核准後支應。</w:t>
      </w:r>
    </w:p>
    <w:p w14:paraId="47121897" w14:textId="3EE133F3" w:rsidR="00DF7D62" w:rsidRPr="00DF7D62" w:rsidRDefault="0063281B" w:rsidP="00E646AC">
      <w:pPr>
        <w:spacing w:line="520" w:lineRule="exact"/>
        <w:ind w:leftChars="236" w:left="567" w:hanging="1"/>
        <w:jc w:val="both"/>
        <w:rPr>
          <w:rFonts w:ascii="標楷體" w:eastAsia="標楷體" w:hAnsi="標楷體"/>
          <w:color w:val="000000"/>
          <w:sz w:val="28"/>
          <w:szCs w:val="28"/>
        </w:rPr>
      </w:pPr>
      <w:r w:rsidRPr="0003586E">
        <w:rPr>
          <w:rFonts w:ascii="標楷體" w:eastAsia="標楷體" w:hAnsi="標楷體" w:hint="eastAsia"/>
          <w:sz w:val="28"/>
          <w:szCs w:val="28"/>
        </w:rPr>
        <w:t>本經費</w:t>
      </w:r>
      <w:bookmarkStart w:id="1" w:name="_Hlk146702421"/>
      <w:r w:rsidRPr="0003586E">
        <w:rPr>
          <w:rFonts w:ascii="標楷體" w:eastAsia="標楷體" w:hAnsi="標楷體" w:hint="eastAsia"/>
          <w:sz w:val="28"/>
          <w:szCs w:val="28"/>
        </w:rPr>
        <w:t>年度終了未使用部分，除經本府</w:t>
      </w:r>
      <w:r w:rsidRPr="0003586E">
        <w:rPr>
          <w:rFonts w:ascii="標楷體" w:eastAsia="標楷體" w:hAnsi="標楷體" w:hint="eastAsia"/>
          <w:color w:val="000000"/>
          <w:sz w:val="28"/>
          <w:szCs w:val="28"/>
        </w:rPr>
        <w:t>核准保留外，</w:t>
      </w:r>
      <w:bookmarkEnd w:id="1"/>
      <w:r w:rsidRPr="0003586E">
        <w:rPr>
          <w:rFonts w:ascii="標楷體" w:eastAsia="標楷體" w:hAnsi="標楷體" w:hint="eastAsia"/>
          <w:color w:val="000000"/>
          <w:sz w:val="28"/>
          <w:szCs w:val="28"/>
        </w:rPr>
        <w:t>應即停止支用，並列作決算賸餘處理</w:t>
      </w:r>
      <w:r w:rsidRPr="0063281B">
        <w:rPr>
          <w:rFonts w:ascii="標楷體" w:eastAsia="標楷體" w:hAnsi="標楷體" w:hint="eastAsia"/>
          <w:color w:val="000000"/>
          <w:sz w:val="28"/>
          <w:szCs w:val="28"/>
        </w:rPr>
        <w:t>。但復興區公所於每年度結束後應將補助款之</w:t>
      </w:r>
      <w:proofErr w:type="gramStart"/>
      <w:r w:rsidRPr="0063281B">
        <w:rPr>
          <w:rFonts w:ascii="標楷體" w:eastAsia="標楷體" w:hAnsi="標楷體" w:hint="eastAsia"/>
          <w:color w:val="000000"/>
          <w:sz w:val="28"/>
          <w:szCs w:val="28"/>
        </w:rPr>
        <w:t>結餘數繳回本府公庫</w:t>
      </w:r>
      <w:proofErr w:type="gramEnd"/>
      <w:r w:rsidRPr="0063281B">
        <w:rPr>
          <w:rFonts w:ascii="標楷體" w:eastAsia="標楷體" w:hAnsi="標楷體" w:hint="eastAsia"/>
          <w:color w:val="000000"/>
          <w:sz w:val="28"/>
          <w:szCs w:val="28"/>
        </w:rPr>
        <w:t>。</w:t>
      </w:r>
    </w:p>
    <w:p w14:paraId="1C462E80" w14:textId="77777777" w:rsidR="00DF7D62" w:rsidRPr="00DF7D62" w:rsidRDefault="00DF7D62" w:rsidP="00DF7D62">
      <w:pPr>
        <w:spacing w:line="520" w:lineRule="exact"/>
        <w:ind w:leftChars="236" w:left="567" w:hanging="1"/>
        <w:rPr>
          <w:rFonts w:ascii="標楷體" w:eastAsia="標楷體" w:hAnsi="標楷體"/>
          <w:color w:val="000000"/>
          <w:sz w:val="28"/>
          <w:szCs w:val="28"/>
        </w:rPr>
      </w:pPr>
      <w:r w:rsidRPr="00DF7D62">
        <w:rPr>
          <w:rFonts w:ascii="標楷體" w:eastAsia="標楷體" w:hAnsi="標楷體" w:hint="eastAsia"/>
          <w:color w:val="000000"/>
          <w:sz w:val="28"/>
          <w:szCs w:val="28"/>
        </w:rPr>
        <w:t>各採購案除經核准保留外，應於年度內辦理完竣，並依規定程序辦理核銷作業。</w:t>
      </w:r>
    </w:p>
    <w:p w14:paraId="4B72AF94" w14:textId="77777777" w:rsidR="00DF7D62" w:rsidRDefault="00DF7D62" w:rsidP="00DF7D62">
      <w:pPr>
        <w:spacing w:line="520" w:lineRule="exact"/>
        <w:ind w:leftChars="236" w:left="567" w:hanging="1"/>
        <w:rPr>
          <w:rFonts w:ascii="標楷體" w:eastAsia="標楷體" w:hAnsi="標楷體"/>
          <w:color w:val="000000"/>
          <w:sz w:val="28"/>
          <w:szCs w:val="28"/>
        </w:rPr>
      </w:pPr>
      <w:r w:rsidRPr="00DF7D62">
        <w:rPr>
          <w:rFonts w:ascii="標楷體" w:eastAsia="標楷體" w:hAnsi="標楷體" w:hint="eastAsia"/>
          <w:color w:val="000000"/>
          <w:sz w:val="28"/>
          <w:szCs w:val="28"/>
        </w:rPr>
        <w:t>各區公所</w:t>
      </w:r>
      <w:proofErr w:type="gramStart"/>
      <w:r w:rsidRPr="00DF7D62">
        <w:rPr>
          <w:rFonts w:ascii="標楷體" w:eastAsia="標楷體" w:hAnsi="標楷體" w:hint="eastAsia"/>
          <w:color w:val="000000"/>
          <w:sz w:val="28"/>
          <w:szCs w:val="28"/>
        </w:rPr>
        <w:t>應依里辦公處</w:t>
      </w:r>
      <w:proofErr w:type="gramEnd"/>
      <w:r w:rsidRPr="00DF7D62">
        <w:rPr>
          <w:rFonts w:ascii="標楷體" w:eastAsia="標楷體" w:hAnsi="標楷體" w:hint="eastAsia"/>
          <w:color w:val="000000"/>
          <w:sz w:val="28"/>
          <w:szCs w:val="28"/>
        </w:rPr>
        <w:t>每月報表彙總累計表及各季執行情形，於每年一月、四月、七月、十月當月之十五日前報本府備查。</w:t>
      </w:r>
    </w:p>
    <w:p w14:paraId="09C69AC2" w14:textId="6337BB72" w:rsidR="00DF7D62" w:rsidRPr="00DF7D62" w:rsidRDefault="00E646AC" w:rsidP="005A142A">
      <w:pPr>
        <w:pStyle w:val="a3"/>
        <w:numPr>
          <w:ilvl w:val="0"/>
          <w:numId w:val="12"/>
        </w:numPr>
        <w:spacing w:line="520" w:lineRule="exact"/>
        <w:ind w:leftChars="0" w:left="567" w:hanging="567"/>
        <w:jc w:val="both"/>
        <w:rPr>
          <w:rFonts w:ascii="標楷體" w:eastAsia="標楷體" w:hAnsi="標楷體"/>
        </w:rPr>
      </w:pPr>
      <w:r w:rsidRPr="00E646AC">
        <w:rPr>
          <w:rFonts w:ascii="標楷體" w:eastAsia="標楷體" w:hAnsi="標楷體" w:hint="eastAsia"/>
          <w:sz w:val="28"/>
          <w:szCs w:val="28"/>
        </w:rPr>
        <w:t>各區公所應隨時派員實地查核</w:t>
      </w:r>
      <w:proofErr w:type="gramStart"/>
      <w:r w:rsidRPr="00E646AC">
        <w:rPr>
          <w:rFonts w:ascii="標楷體" w:eastAsia="標楷體" w:hAnsi="標楷體" w:hint="eastAsia"/>
          <w:sz w:val="28"/>
          <w:szCs w:val="28"/>
        </w:rPr>
        <w:t>轄</w:t>
      </w:r>
      <w:proofErr w:type="gramEnd"/>
      <w:r w:rsidRPr="00E646AC">
        <w:rPr>
          <w:rFonts w:ascii="標楷體" w:eastAsia="標楷體" w:hAnsi="標楷體" w:hint="eastAsia"/>
          <w:sz w:val="28"/>
          <w:szCs w:val="28"/>
        </w:rPr>
        <w:t>內各里基層工作經費執行之情形，本府民政局得不定期至區公所查核，發現有未依規定執行或發生弊端之情事，除追繳支出經費外，並依法追究失職人員責任。</w:t>
      </w:r>
    </w:p>
    <w:p w14:paraId="232BBDB9" w14:textId="77777777" w:rsidR="00DF7D62" w:rsidRPr="00DF7D62" w:rsidRDefault="00DF7D62" w:rsidP="00DF7D62">
      <w:pPr>
        <w:pStyle w:val="a3"/>
        <w:numPr>
          <w:ilvl w:val="0"/>
          <w:numId w:val="12"/>
        </w:numPr>
        <w:spacing w:line="520" w:lineRule="exact"/>
        <w:ind w:leftChars="0" w:left="567" w:hanging="567"/>
        <w:rPr>
          <w:rFonts w:ascii="標楷體" w:eastAsia="標楷體" w:hAnsi="標楷體"/>
        </w:rPr>
      </w:pPr>
      <w:r>
        <w:rPr>
          <w:rFonts w:ascii="標楷體" w:eastAsia="標楷體" w:hAnsi="標楷體" w:hint="eastAsia"/>
          <w:sz w:val="28"/>
          <w:szCs w:val="28"/>
        </w:rPr>
        <w:t>本經費實施細項、執行注意事項及各項表格由本府另定之。</w:t>
      </w:r>
    </w:p>
    <w:sectPr w:rsidR="00DF7D62" w:rsidRPr="00DF7D62" w:rsidSect="00E75B10">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0248" w14:textId="77777777" w:rsidR="00C63D17" w:rsidRDefault="00C63D17" w:rsidP="00F07C27">
      <w:r>
        <w:separator/>
      </w:r>
    </w:p>
  </w:endnote>
  <w:endnote w:type="continuationSeparator" w:id="0">
    <w:p w14:paraId="203EA8CB" w14:textId="77777777" w:rsidR="00C63D17" w:rsidRDefault="00C63D17" w:rsidP="00F07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3EFD3" w14:textId="77777777" w:rsidR="00C63D17" w:rsidRDefault="00C63D17" w:rsidP="00F07C27">
      <w:r>
        <w:separator/>
      </w:r>
    </w:p>
  </w:footnote>
  <w:footnote w:type="continuationSeparator" w:id="0">
    <w:p w14:paraId="5F11F59B" w14:textId="77777777" w:rsidR="00C63D17" w:rsidRDefault="00C63D17" w:rsidP="00F07C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42C"/>
    <w:multiLevelType w:val="hybridMultilevel"/>
    <w:tmpl w:val="A630EE04"/>
    <w:lvl w:ilvl="0" w:tplc="1CDCA84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4DC9"/>
    <w:multiLevelType w:val="hybridMultilevel"/>
    <w:tmpl w:val="738AEE88"/>
    <w:lvl w:ilvl="0" w:tplc="CFACA9A6">
      <w:start w:val="1"/>
      <w:numFmt w:val="taiwaneseCountingThousand"/>
      <w:lvlText w:val="(%1)"/>
      <w:lvlJc w:val="left"/>
      <w:pPr>
        <w:ind w:left="1305" w:hanging="720"/>
      </w:pPr>
      <w:rPr>
        <w:rFonts w:hint="default"/>
        <w:b w:val="0"/>
      </w:rPr>
    </w:lvl>
    <w:lvl w:ilvl="1" w:tplc="04090019" w:tentative="1">
      <w:start w:val="1"/>
      <w:numFmt w:val="ideographTraditional"/>
      <w:lvlText w:val="%2、"/>
      <w:lvlJc w:val="left"/>
      <w:pPr>
        <w:ind w:left="1545" w:hanging="480"/>
      </w:pPr>
    </w:lvl>
    <w:lvl w:ilvl="2" w:tplc="0409001B" w:tentative="1">
      <w:start w:val="1"/>
      <w:numFmt w:val="lowerRoman"/>
      <w:lvlText w:val="%3."/>
      <w:lvlJc w:val="right"/>
      <w:pPr>
        <w:ind w:left="2025" w:hanging="480"/>
      </w:pPr>
    </w:lvl>
    <w:lvl w:ilvl="3" w:tplc="0409000F" w:tentative="1">
      <w:start w:val="1"/>
      <w:numFmt w:val="decimal"/>
      <w:lvlText w:val="%4."/>
      <w:lvlJc w:val="left"/>
      <w:pPr>
        <w:ind w:left="2505" w:hanging="480"/>
      </w:pPr>
    </w:lvl>
    <w:lvl w:ilvl="4" w:tplc="04090019" w:tentative="1">
      <w:start w:val="1"/>
      <w:numFmt w:val="ideographTraditional"/>
      <w:lvlText w:val="%5、"/>
      <w:lvlJc w:val="left"/>
      <w:pPr>
        <w:ind w:left="2985" w:hanging="480"/>
      </w:pPr>
    </w:lvl>
    <w:lvl w:ilvl="5" w:tplc="0409001B" w:tentative="1">
      <w:start w:val="1"/>
      <w:numFmt w:val="lowerRoman"/>
      <w:lvlText w:val="%6."/>
      <w:lvlJc w:val="right"/>
      <w:pPr>
        <w:ind w:left="3465" w:hanging="480"/>
      </w:pPr>
    </w:lvl>
    <w:lvl w:ilvl="6" w:tplc="0409000F" w:tentative="1">
      <w:start w:val="1"/>
      <w:numFmt w:val="decimal"/>
      <w:lvlText w:val="%7."/>
      <w:lvlJc w:val="left"/>
      <w:pPr>
        <w:ind w:left="3945" w:hanging="480"/>
      </w:pPr>
    </w:lvl>
    <w:lvl w:ilvl="7" w:tplc="04090019" w:tentative="1">
      <w:start w:val="1"/>
      <w:numFmt w:val="ideographTraditional"/>
      <w:lvlText w:val="%8、"/>
      <w:lvlJc w:val="left"/>
      <w:pPr>
        <w:ind w:left="4425" w:hanging="480"/>
      </w:pPr>
    </w:lvl>
    <w:lvl w:ilvl="8" w:tplc="0409001B" w:tentative="1">
      <w:start w:val="1"/>
      <w:numFmt w:val="lowerRoman"/>
      <w:lvlText w:val="%9."/>
      <w:lvlJc w:val="right"/>
      <w:pPr>
        <w:ind w:left="4905" w:hanging="480"/>
      </w:pPr>
    </w:lvl>
  </w:abstractNum>
  <w:abstractNum w:abstractNumId="2" w15:restartNumberingAfterBreak="0">
    <w:nsid w:val="0F9B5764"/>
    <w:multiLevelType w:val="hybridMultilevel"/>
    <w:tmpl w:val="B53EC1E8"/>
    <w:lvl w:ilvl="0" w:tplc="CFACA9A6">
      <w:start w:val="1"/>
      <w:numFmt w:val="taiwaneseCountingThousand"/>
      <w:lvlText w:val="(%1)"/>
      <w:lvlJc w:val="left"/>
      <w:pPr>
        <w:ind w:left="900" w:hanging="480"/>
      </w:pPr>
      <w:rPr>
        <w:rFonts w:hint="default"/>
        <w:b w:val="0"/>
        <w:color w:val="000000"/>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A02033B"/>
    <w:multiLevelType w:val="hybridMultilevel"/>
    <w:tmpl w:val="1E1EE5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050C5D"/>
    <w:multiLevelType w:val="hybridMultilevel"/>
    <w:tmpl w:val="8D3CE2D6"/>
    <w:lvl w:ilvl="0" w:tplc="F14237CA">
      <w:start w:val="1"/>
      <w:numFmt w:val="taiwaneseCountingThousand"/>
      <w:lvlText w:val="(%1)"/>
      <w:lvlJc w:val="left"/>
      <w:pPr>
        <w:ind w:left="960" w:hanging="480"/>
      </w:pPr>
      <w:rPr>
        <w:rFonts w:hint="default"/>
        <w:b w:val="0"/>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0505C67"/>
    <w:multiLevelType w:val="hybridMultilevel"/>
    <w:tmpl w:val="495497A6"/>
    <w:lvl w:ilvl="0" w:tplc="7F46241A">
      <w:start w:val="5"/>
      <w:numFmt w:val="taiwaneseCountingThousand"/>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35E0FA6"/>
    <w:multiLevelType w:val="hybridMultilevel"/>
    <w:tmpl w:val="7E4E08A2"/>
    <w:lvl w:ilvl="0" w:tplc="C8B69392">
      <w:start w:val="6"/>
      <w:numFmt w:val="taiwaneseCountingThousand"/>
      <w:lvlText w:val="%1、"/>
      <w:lvlJc w:val="left"/>
      <w:pPr>
        <w:ind w:left="104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6B13D6"/>
    <w:multiLevelType w:val="hybridMultilevel"/>
    <w:tmpl w:val="765079D6"/>
    <w:lvl w:ilvl="0" w:tplc="BA10A344">
      <w:start w:val="1"/>
      <w:numFmt w:val="taiwaneseCountingThousand"/>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3E60DE1"/>
    <w:multiLevelType w:val="hybridMultilevel"/>
    <w:tmpl w:val="2312B3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48A6AA7"/>
    <w:multiLevelType w:val="hybridMultilevel"/>
    <w:tmpl w:val="477272F0"/>
    <w:lvl w:ilvl="0" w:tplc="0409000F">
      <w:start w:val="1"/>
      <w:numFmt w:val="decimal"/>
      <w:lvlText w:val="%1."/>
      <w:lvlJc w:val="left"/>
      <w:pPr>
        <w:ind w:left="1385" w:hanging="48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0" w15:restartNumberingAfterBreak="0">
    <w:nsid w:val="5AE6693B"/>
    <w:multiLevelType w:val="hybridMultilevel"/>
    <w:tmpl w:val="87AAEF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7097FA7"/>
    <w:multiLevelType w:val="hybridMultilevel"/>
    <w:tmpl w:val="2334E7BC"/>
    <w:lvl w:ilvl="0" w:tplc="CCF8BA62">
      <w:start w:val="1"/>
      <w:numFmt w:val="taiwaneseCountingThousand"/>
      <w:lvlText w:val="(%1)"/>
      <w:lvlJc w:val="left"/>
      <w:pPr>
        <w:ind w:left="1040" w:hanging="480"/>
      </w:pPr>
      <w:rPr>
        <w:rFonts w:hint="default"/>
        <w:b w:val="0"/>
        <w:sz w:val="28"/>
        <w:szCs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2" w15:restartNumberingAfterBreak="0">
    <w:nsid w:val="69A937FA"/>
    <w:multiLevelType w:val="hybridMultilevel"/>
    <w:tmpl w:val="3F5CFFEE"/>
    <w:lvl w:ilvl="0" w:tplc="CFACA9A6">
      <w:start w:val="1"/>
      <w:numFmt w:val="taiwaneseCountingThousand"/>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146197439">
    <w:abstractNumId w:val="7"/>
  </w:num>
  <w:num w:numId="2" w16cid:durableId="1204098216">
    <w:abstractNumId w:val="4"/>
  </w:num>
  <w:num w:numId="3" w16cid:durableId="1458522793">
    <w:abstractNumId w:val="1"/>
  </w:num>
  <w:num w:numId="4" w16cid:durableId="100883467">
    <w:abstractNumId w:val="2"/>
  </w:num>
  <w:num w:numId="5" w16cid:durableId="781614987">
    <w:abstractNumId w:val="8"/>
  </w:num>
  <w:num w:numId="6" w16cid:durableId="614678459">
    <w:abstractNumId w:val="3"/>
  </w:num>
  <w:num w:numId="7" w16cid:durableId="1208566637">
    <w:abstractNumId w:val="5"/>
  </w:num>
  <w:num w:numId="8" w16cid:durableId="476844333">
    <w:abstractNumId w:val="11"/>
  </w:num>
  <w:num w:numId="9" w16cid:durableId="734864140">
    <w:abstractNumId w:val="9"/>
  </w:num>
  <w:num w:numId="10" w16cid:durableId="2120172492">
    <w:abstractNumId w:val="12"/>
  </w:num>
  <w:num w:numId="11" w16cid:durableId="241456784">
    <w:abstractNumId w:val="10"/>
  </w:num>
  <w:num w:numId="12" w16cid:durableId="2139100325">
    <w:abstractNumId w:val="6"/>
  </w:num>
  <w:num w:numId="13" w16cid:durableId="1149905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B10"/>
    <w:rsid w:val="0003586E"/>
    <w:rsid w:val="00087317"/>
    <w:rsid w:val="000A2B12"/>
    <w:rsid w:val="000A4526"/>
    <w:rsid w:val="001001F8"/>
    <w:rsid w:val="002A0D4C"/>
    <w:rsid w:val="002D19C5"/>
    <w:rsid w:val="003C1D54"/>
    <w:rsid w:val="003D2DB7"/>
    <w:rsid w:val="00437B40"/>
    <w:rsid w:val="004A42C5"/>
    <w:rsid w:val="004E536F"/>
    <w:rsid w:val="00531000"/>
    <w:rsid w:val="005A0F6E"/>
    <w:rsid w:val="005A142A"/>
    <w:rsid w:val="006222F8"/>
    <w:rsid w:val="0063281B"/>
    <w:rsid w:val="006520BD"/>
    <w:rsid w:val="0070239E"/>
    <w:rsid w:val="007252B3"/>
    <w:rsid w:val="00891DD3"/>
    <w:rsid w:val="008E6E13"/>
    <w:rsid w:val="00A02715"/>
    <w:rsid w:val="00A15C89"/>
    <w:rsid w:val="00A73753"/>
    <w:rsid w:val="00B40212"/>
    <w:rsid w:val="00B752E5"/>
    <w:rsid w:val="00BC789E"/>
    <w:rsid w:val="00C2243E"/>
    <w:rsid w:val="00C300FC"/>
    <w:rsid w:val="00C377C8"/>
    <w:rsid w:val="00C51B7D"/>
    <w:rsid w:val="00C543F4"/>
    <w:rsid w:val="00C63D17"/>
    <w:rsid w:val="00C67084"/>
    <w:rsid w:val="00C91030"/>
    <w:rsid w:val="00D8424B"/>
    <w:rsid w:val="00DF7D62"/>
    <w:rsid w:val="00E01C7F"/>
    <w:rsid w:val="00E50C42"/>
    <w:rsid w:val="00E646AC"/>
    <w:rsid w:val="00E75B10"/>
    <w:rsid w:val="00EB35F0"/>
    <w:rsid w:val="00EE5AF9"/>
    <w:rsid w:val="00F05CDB"/>
    <w:rsid w:val="00F07C27"/>
    <w:rsid w:val="00F163AF"/>
    <w:rsid w:val="00F36882"/>
    <w:rsid w:val="00F54F46"/>
    <w:rsid w:val="00FA500E"/>
    <w:rsid w:val="00FA75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0F908"/>
  <w15:chartTrackingRefBased/>
  <w15:docId w15:val="{F38C6CB6-58E7-45EA-A3F8-BB74310A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5DA"/>
    <w:pPr>
      <w:ind w:leftChars="200" w:left="480"/>
    </w:pPr>
  </w:style>
  <w:style w:type="table" w:styleId="a4">
    <w:name w:val="Table Grid"/>
    <w:basedOn w:val="a1"/>
    <w:rsid w:val="00FA75D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07C27"/>
    <w:pPr>
      <w:tabs>
        <w:tab w:val="center" w:pos="4153"/>
        <w:tab w:val="right" w:pos="8306"/>
      </w:tabs>
      <w:snapToGrid w:val="0"/>
    </w:pPr>
    <w:rPr>
      <w:sz w:val="20"/>
      <w:szCs w:val="20"/>
    </w:rPr>
  </w:style>
  <w:style w:type="character" w:customStyle="1" w:styleId="a6">
    <w:name w:val="頁首 字元"/>
    <w:basedOn w:val="a0"/>
    <w:link w:val="a5"/>
    <w:uiPriority w:val="99"/>
    <w:rsid w:val="00F07C27"/>
    <w:rPr>
      <w:sz w:val="20"/>
      <w:szCs w:val="20"/>
    </w:rPr>
  </w:style>
  <w:style w:type="paragraph" w:styleId="a7">
    <w:name w:val="footer"/>
    <w:basedOn w:val="a"/>
    <w:link w:val="a8"/>
    <w:uiPriority w:val="99"/>
    <w:unhideWhenUsed/>
    <w:rsid w:val="00F07C27"/>
    <w:pPr>
      <w:tabs>
        <w:tab w:val="center" w:pos="4153"/>
        <w:tab w:val="right" w:pos="8306"/>
      </w:tabs>
      <w:snapToGrid w:val="0"/>
    </w:pPr>
    <w:rPr>
      <w:sz w:val="20"/>
      <w:szCs w:val="20"/>
    </w:rPr>
  </w:style>
  <w:style w:type="character" w:customStyle="1" w:styleId="a8">
    <w:name w:val="頁尾 字元"/>
    <w:basedOn w:val="a0"/>
    <w:link w:val="a7"/>
    <w:uiPriority w:val="99"/>
    <w:rsid w:val="00F07C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陳天威</dc:creator>
  <cp:keywords/>
  <dc:description/>
  <cp:lastModifiedBy>黃肇勳</cp:lastModifiedBy>
  <cp:revision>21</cp:revision>
  <cp:lastPrinted>2023-11-24T00:51:00Z</cp:lastPrinted>
  <dcterms:created xsi:type="dcterms:W3CDTF">2021-09-10T06:10:00Z</dcterms:created>
  <dcterms:modified xsi:type="dcterms:W3CDTF">2023-11-28T03:00:00Z</dcterms:modified>
</cp:coreProperties>
</file>