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B00D" w14:textId="392BBBD1" w:rsidR="00060DC8" w:rsidRPr="00CE4A26" w:rsidRDefault="00060DC8" w:rsidP="00060DC8">
      <w:pPr>
        <w:jc w:val="center"/>
        <w:rPr>
          <w:rFonts w:ascii="微軟正黑體" w:eastAsia="微軟正黑體" w:hAnsi="微軟正黑體"/>
          <w:b/>
          <w:bCs/>
          <w:color w:val="7030A0"/>
          <w:sz w:val="44"/>
          <w:szCs w:val="44"/>
        </w:rPr>
      </w:pPr>
      <w:r w:rsidRPr="00A5357F">
        <w:rPr>
          <w:rFonts w:ascii="微軟正黑體" w:eastAsia="微軟正黑體" w:hAnsi="微軟正黑體" w:hint="eastAsia"/>
          <w:b/>
          <w:bCs/>
          <w:color w:val="7030A0"/>
          <w:sz w:val="44"/>
          <w:szCs w:val="44"/>
        </w:rPr>
        <w:t>廉政案例宣導</w:t>
      </w:r>
      <w:r w:rsidR="00770721">
        <w:rPr>
          <w:rFonts w:ascii="微軟正黑體" w:eastAsia="微軟正黑體" w:hAnsi="微軟正黑體" w:hint="eastAsia"/>
          <w:b/>
          <w:bCs/>
          <w:color w:val="7030A0"/>
          <w:sz w:val="44"/>
          <w:szCs w:val="44"/>
        </w:rPr>
        <w:t>－圖利罪</w:t>
      </w:r>
    </w:p>
    <w:p w14:paraId="75DFE82F" w14:textId="7C351111" w:rsidR="00060DC8" w:rsidRPr="00293975" w:rsidRDefault="00626D96" w:rsidP="00A5357F">
      <w:pPr>
        <w:rPr>
          <w:rFonts w:ascii="微軟正黑體" w:eastAsia="微軟正黑體" w:hAnsi="微軟正黑體"/>
          <w:b/>
          <w:bCs/>
          <w:color w:val="2B2B2B"/>
          <w:sz w:val="28"/>
          <w:szCs w:val="28"/>
        </w:rPr>
      </w:pPr>
      <w:r w:rsidRPr="00293975">
        <w:rPr>
          <w:rFonts w:ascii="微軟正黑體" w:eastAsia="微軟正黑體" w:hAnsi="微軟正黑體" w:hint="eastAsia"/>
          <w:b/>
          <w:bCs/>
          <w:color w:val="2B2B2B"/>
          <w:sz w:val="28"/>
          <w:szCs w:val="28"/>
        </w:rPr>
        <w:t>一、</w:t>
      </w:r>
      <w:r w:rsidR="00060DC8" w:rsidRPr="00293975">
        <w:rPr>
          <w:rFonts w:ascii="微軟正黑體" w:eastAsia="微軟正黑體" w:hAnsi="微軟正黑體" w:hint="eastAsia"/>
          <w:b/>
          <w:bCs/>
          <w:color w:val="2B2B2B"/>
          <w:sz w:val="28"/>
          <w:szCs w:val="28"/>
        </w:rPr>
        <w:t>相關法條</w:t>
      </w:r>
    </w:p>
    <w:p w14:paraId="2221EE11" w14:textId="3F105666" w:rsidR="00060DC8" w:rsidRPr="00293975" w:rsidRDefault="00060DC8" w:rsidP="00A5357F">
      <w:pPr>
        <w:rPr>
          <w:rFonts w:ascii="微軟正黑體" w:eastAsia="微軟正黑體" w:hAnsi="微軟正黑體"/>
          <w:color w:val="2B2B2B"/>
          <w:sz w:val="28"/>
          <w:szCs w:val="28"/>
        </w:rPr>
      </w:pPr>
      <w:r w:rsidRPr="00293975">
        <w:rPr>
          <w:rFonts w:ascii="微軟正黑體" w:eastAsia="微軟正黑體" w:hAnsi="微軟正黑體"/>
          <w:color w:val="2B2B2B"/>
          <w:sz w:val="28"/>
          <w:szCs w:val="28"/>
        </w:rPr>
        <w:t>貪污治罪條例</w:t>
      </w:r>
      <w:r w:rsidR="00602CE9" w:rsidRPr="00293975">
        <w:rPr>
          <w:rFonts w:ascii="微軟正黑體" w:eastAsia="微軟正黑體" w:hAnsi="微軟正黑體" w:hint="eastAsia"/>
          <w:color w:val="2B2B2B"/>
          <w:sz w:val="28"/>
          <w:szCs w:val="28"/>
        </w:rPr>
        <w:t>(下稱本條例)</w:t>
      </w:r>
      <w:r w:rsidR="00375637" w:rsidRPr="00293975">
        <w:rPr>
          <w:rFonts w:ascii="微軟正黑體" w:eastAsia="微軟正黑體" w:hAnsi="微軟正黑體" w:cs="Arial"/>
          <w:color w:val="000000"/>
          <w:sz w:val="28"/>
          <w:szCs w:val="28"/>
        </w:rPr>
        <w:t xml:space="preserve"> </w:t>
      </w:r>
      <w:r w:rsidR="00237BD7" w:rsidRPr="00293975">
        <w:rPr>
          <w:rFonts w:ascii="微軟正黑體" w:eastAsia="微軟正黑體" w:hAnsi="微軟正黑體" w:cs="Arial"/>
          <w:color w:val="000000"/>
          <w:sz w:val="28"/>
          <w:szCs w:val="28"/>
        </w:rPr>
        <w:t>第6條</w:t>
      </w:r>
      <w:r w:rsidR="00375637" w:rsidRPr="00293975">
        <w:rPr>
          <w:rFonts w:ascii="微軟正黑體" w:eastAsia="微軟正黑體" w:hAnsi="微軟正黑體" w:cs="Arial"/>
          <w:color w:val="000000"/>
          <w:sz w:val="28"/>
          <w:szCs w:val="28"/>
        </w:rPr>
        <w:t>第1項第4款</w:t>
      </w:r>
      <w:r w:rsidR="00CE4A26" w:rsidRPr="00293975">
        <w:rPr>
          <w:rFonts w:ascii="微軟正黑體" w:eastAsia="微軟正黑體" w:hAnsi="微軟正黑體" w:cs="Arial" w:hint="eastAsia"/>
          <w:color w:val="000000"/>
          <w:sz w:val="28"/>
          <w:szCs w:val="28"/>
        </w:rPr>
        <w:t>之「</w:t>
      </w:r>
      <w:r w:rsidR="002B2472">
        <w:rPr>
          <w:rFonts w:ascii="微軟正黑體" w:eastAsia="微軟正黑體" w:hAnsi="微軟正黑體" w:cs="Arial" w:hint="eastAsia"/>
          <w:color w:val="000000"/>
          <w:sz w:val="28"/>
          <w:szCs w:val="28"/>
        </w:rPr>
        <w:t>對於主管監督事務</w:t>
      </w:r>
      <w:r w:rsidR="00CE4A26" w:rsidRPr="00293975">
        <w:rPr>
          <w:rFonts w:ascii="微軟正黑體" w:eastAsia="微軟正黑體" w:hAnsi="微軟正黑體" w:cs="Arial" w:hint="eastAsia"/>
          <w:color w:val="000000"/>
          <w:sz w:val="28"/>
          <w:szCs w:val="28"/>
        </w:rPr>
        <w:t>圖利罪」</w:t>
      </w:r>
      <w:r w:rsidRPr="00293975">
        <w:rPr>
          <w:rFonts w:ascii="微軟正黑體" w:eastAsia="微軟正黑體" w:hAnsi="微軟正黑體" w:hint="eastAsia"/>
          <w:color w:val="2B2B2B"/>
          <w:sz w:val="28"/>
          <w:szCs w:val="28"/>
        </w:rPr>
        <w:t>明定</w:t>
      </w:r>
      <w:r w:rsidRPr="00293975">
        <w:rPr>
          <w:rFonts w:ascii="微軟正黑體" w:eastAsia="微軟正黑體" w:hAnsi="微軟正黑體"/>
          <w:color w:val="2B2B2B"/>
          <w:sz w:val="28"/>
          <w:szCs w:val="28"/>
        </w:rPr>
        <w:t>「</w:t>
      </w:r>
      <w:r w:rsidR="00375637" w:rsidRPr="00293975">
        <w:rPr>
          <w:rFonts w:ascii="微軟正黑體" w:eastAsia="微軟正黑體" w:hAnsi="微軟正黑體" w:cs="Helvetica" w:hint="eastAsia"/>
          <w:color w:val="000000"/>
          <w:sz w:val="28"/>
          <w:szCs w:val="28"/>
        </w:rPr>
        <w:t>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r w:rsidR="00375637" w:rsidRPr="00293975">
        <w:rPr>
          <w:rFonts w:ascii="微軟正黑體" w:eastAsia="微軟正黑體" w:hAnsi="微軟正黑體" w:cs="Helvetica"/>
          <w:color w:val="000000"/>
          <w:sz w:val="28"/>
          <w:szCs w:val="28"/>
        </w:rPr>
        <w:t>」</w:t>
      </w:r>
    </w:p>
    <w:p w14:paraId="52B12108" w14:textId="6AEF1646" w:rsidR="00060DC8" w:rsidRPr="00293975" w:rsidRDefault="00626D96" w:rsidP="00A5357F">
      <w:pPr>
        <w:rPr>
          <w:rFonts w:ascii="微軟正黑體" w:eastAsia="微軟正黑體" w:hAnsi="微軟正黑體"/>
          <w:b/>
          <w:bCs/>
          <w:color w:val="2B2B2B"/>
          <w:sz w:val="28"/>
          <w:szCs w:val="28"/>
        </w:rPr>
      </w:pPr>
      <w:r w:rsidRPr="00293975">
        <w:rPr>
          <w:rFonts w:ascii="微軟正黑體" w:eastAsia="微軟正黑體" w:hAnsi="微軟正黑體" w:hint="eastAsia"/>
          <w:b/>
          <w:bCs/>
          <w:color w:val="2B2B2B"/>
          <w:sz w:val="28"/>
          <w:szCs w:val="28"/>
        </w:rPr>
        <w:t>二、</w:t>
      </w:r>
      <w:r w:rsidR="00060DC8" w:rsidRPr="00293975">
        <w:rPr>
          <w:rFonts w:ascii="微軟正黑體" w:eastAsia="微軟正黑體" w:hAnsi="微軟正黑體" w:hint="eastAsia"/>
          <w:b/>
          <w:bCs/>
          <w:color w:val="2B2B2B"/>
          <w:sz w:val="28"/>
          <w:szCs w:val="28"/>
        </w:rPr>
        <w:t>案情摘要</w:t>
      </w:r>
    </w:p>
    <w:p w14:paraId="47147708" w14:textId="696F3FA3" w:rsidR="00375637" w:rsidRPr="00293975" w:rsidRDefault="00375637" w:rsidP="00375637">
      <w:pPr>
        <w:rPr>
          <w:rFonts w:ascii="微軟正黑體" w:eastAsia="微軟正黑體" w:hAnsi="微軟正黑體" w:cs="Arial"/>
          <w:color w:val="000000"/>
          <w:sz w:val="28"/>
          <w:szCs w:val="28"/>
        </w:rPr>
      </w:pPr>
      <w:r w:rsidRPr="00293975">
        <w:rPr>
          <w:rFonts w:ascii="微軟正黑體" w:eastAsia="微軟正黑體" w:hAnsi="微軟正黑體" w:cs="Arial" w:hint="eastAsia"/>
          <w:color w:val="000000"/>
          <w:sz w:val="28"/>
          <w:szCs w:val="28"/>
        </w:rPr>
        <w:t>林員</w:t>
      </w:r>
      <w:r w:rsidRPr="00293975">
        <w:rPr>
          <w:rFonts w:ascii="微軟正黑體" w:eastAsia="微軟正黑體" w:hAnsi="微軟正黑體" w:cs="Arial"/>
          <w:color w:val="000000"/>
          <w:sz w:val="28"/>
          <w:szCs w:val="28"/>
        </w:rPr>
        <w:t>擔任臺北市違建查報隊小隊長，係負責執行其轄區違章建築認定及查報取締職務之公務員。緣民眾檢舉坐落林</w:t>
      </w:r>
      <w:r w:rsidRPr="00293975">
        <w:rPr>
          <w:rFonts w:ascii="微軟正黑體" w:eastAsia="微軟正黑體" w:hAnsi="微軟正黑體" w:cs="Arial" w:hint="eastAsia"/>
          <w:color w:val="000000"/>
          <w:sz w:val="28"/>
          <w:szCs w:val="28"/>
        </w:rPr>
        <w:t>員</w:t>
      </w:r>
      <w:r w:rsidRPr="00293975">
        <w:rPr>
          <w:rFonts w:ascii="微軟正黑體" w:eastAsia="微軟正黑體" w:hAnsi="微軟正黑體" w:cs="Arial"/>
          <w:color w:val="000000"/>
          <w:sz w:val="28"/>
          <w:szCs w:val="28"/>
        </w:rPr>
        <w:t>負責之轄區內有利用新增建之違章建築物經營俱樂部之情，經其至現場勘查後，明知全屬應依臺北市違章建築處理要點規定予以查報拆除，詎僅拍照表示已查報拆除無復建，或稱屬既存違建而以拍照方式辦理結案，致該違章建築物因未經簽報、拆除，致使原起造人仍得繼續保有該違章建物之整體用益狀態等情形，是否</w:t>
      </w:r>
      <w:r w:rsidR="002B2472">
        <w:rPr>
          <w:rFonts w:ascii="微軟正黑體" w:eastAsia="微軟正黑體" w:hAnsi="微軟正黑體" w:cs="Arial" w:hint="eastAsia"/>
          <w:color w:val="000000"/>
          <w:sz w:val="28"/>
          <w:szCs w:val="28"/>
        </w:rPr>
        <w:t>構成</w:t>
      </w:r>
      <w:r w:rsidRPr="00293975">
        <w:rPr>
          <w:rFonts w:ascii="微軟正黑體" w:eastAsia="微軟正黑體" w:hAnsi="微軟正黑體" w:cs="Arial"/>
          <w:color w:val="000000"/>
          <w:sz w:val="28"/>
          <w:szCs w:val="28"/>
        </w:rPr>
        <w:t>貪污治罪條例第6條第1項第4款所規定</w:t>
      </w:r>
      <w:r w:rsidR="002B2472">
        <w:rPr>
          <w:rFonts w:ascii="微軟正黑體" w:eastAsia="微軟正黑體" w:hAnsi="微軟正黑體" w:cs="Arial" w:hint="eastAsia"/>
          <w:color w:val="000000"/>
          <w:sz w:val="28"/>
          <w:szCs w:val="28"/>
        </w:rPr>
        <w:t>對於主管監督事務圖利罪</w:t>
      </w:r>
      <w:r w:rsidRPr="00293975">
        <w:rPr>
          <w:rFonts w:ascii="微軟正黑體" w:eastAsia="微軟正黑體" w:hAnsi="微軟正黑體" w:cs="Arial"/>
          <w:color w:val="000000"/>
          <w:sz w:val="28"/>
          <w:szCs w:val="28"/>
        </w:rPr>
        <w:t xml:space="preserve">？ </w:t>
      </w:r>
    </w:p>
    <w:p w14:paraId="2FA85E05" w14:textId="7366BAAD" w:rsidR="00626D96" w:rsidRPr="00293975" w:rsidRDefault="00626D96" w:rsidP="00A5357F">
      <w:pPr>
        <w:rPr>
          <w:rFonts w:ascii="微軟正黑體" w:eastAsia="微軟正黑體" w:hAnsi="微軟正黑體"/>
          <w:b/>
          <w:bCs/>
          <w:color w:val="2B2B2B"/>
          <w:sz w:val="28"/>
          <w:szCs w:val="28"/>
        </w:rPr>
      </w:pPr>
      <w:r w:rsidRPr="00293975">
        <w:rPr>
          <w:rFonts w:ascii="微軟正黑體" w:eastAsia="微軟正黑體" w:hAnsi="微軟正黑體" w:hint="eastAsia"/>
          <w:b/>
          <w:bCs/>
          <w:color w:val="2B2B2B"/>
          <w:sz w:val="28"/>
          <w:szCs w:val="28"/>
        </w:rPr>
        <w:t>三、案例分析</w:t>
      </w:r>
    </w:p>
    <w:p w14:paraId="73174EAA" w14:textId="6DFF1DF8" w:rsidR="00CE4A26" w:rsidRPr="00293975" w:rsidRDefault="00CE4A26" w:rsidP="004E3863">
      <w:pPr>
        <w:pStyle w:val="a3"/>
        <w:numPr>
          <w:ilvl w:val="0"/>
          <w:numId w:val="2"/>
        </w:numPr>
        <w:ind w:leftChars="0"/>
        <w:rPr>
          <w:rFonts w:ascii="微軟正黑體" w:eastAsia="微軟正黑體" w:hAnsi="微軟正黑體"/>
          <w:color w:val="2B2B2B"/>
          <w:sz w:val="28"/>
          <w:szCs w:val="28"/>
        </w:rPr>
      </w:pPr>
      <w:r w:rsidRPr="00293975">
        <w:rPr>
          <w:rFonts w:ascii="微軟正黑體" w:eastAsia="微軟正黑體" w:hAnsi="微軟正黑體" w:hint="eastAsia"/>
          <w:color w:val="2B2B2B"/>
          <w:sz w:val="28"/>
          <w:szCs w:val="28"/>
        </w:rPr>
        <w:t>本條例</w:t>
      </w:r>
      <w:r w:rsidR="00237BD7" w:rsidRPr="00293975">
        <w:rPr>
          <w:rFonts w:ascii="微軟正黑體" w:eastAsia="微軟正黑體" w:hAnsi="微軟正黑體" w:cs="Arial"/>
          <w:color w:val="000000"/>
          <w:sz w:val="28"/>
          <w:szCs w:val="28"/>
        </w:rPr>
        <w:t>第6條第1項第4款</w:t>
      </w:r>
      <w:r w:rsidR="00237BD7">
        <w:rPr>
          <w:rFonts w:ascii="微軟正黑體" w:eastAsia="微軟正黑體" w:hAnsi="微軟正黑體" w:cs="Arial" w:hint="eastAsia"/>
          <w:color w:val="000000"/>
          <w:sz w:val="28"/>
          <w:szCs w:val="28"/>
        </w:rPr>
        <w:t>之</w:t>
      </w:r>
      <w:r w:rsidRPr="00293975">
        <w:rPr>
          <w:rFonts w:ascii="微軟正黑體" w:eastAsia="微軟正黑體" w:hAnsi="微軟正黑體" w:hint="eastAsia"/>
          <w:color w:val="2B2B2B"/>
          <w:sz w:val="28"/>
          <w:szCs w:val="28"/>
        </w:rPr>
        <w:t>圖利要件認定</w:t>
      </w:r>
      <w:r w:rsidR="00237BD7">
        <w:rPr>
          <w:rFonts w:ascii="微軟正黑體" w:eastAsia="微軟正黑體" w:hAnsi="微軟正黑體" w:hint="eastAsia"/>
          <w:color w:val="2B2B2B"/>
          <w:sz w:val="28"/>
          <w:szCs w:val="28"/>
        </w:rPr>
        <w:t>：</w:t>
      </w:r>
      <w:r w:rsidRPr="00293975">
        <w:rPr>
          <w:rFonts w:ascii="微軟正黑體" w:eastAsia="微軟正黑體" w:hAnsi="微軟正黑體" w:hint="eastAsia"/>
          <w:color w:val="2B2B2B"/>
          <w:sz w:val="28"/>
          <w:szCs w:val="28"/>
        </w:rPr>
        <w:t>「明知故意」、「違反法令」及「獲得不法利益」。</w:t>
      </w:r>
    </w:p>
    <w:p w14:paraId="245373DA" w14:textId="727FD06C" w:rsidR="00CE4A26" w:rsidRPr="00293975" w:rsidRDefault="00293975" w:rsidP="004E3863">
      <w:pPr>
        <w:pStyle w:val="a3"/>
        <w:numPr>
          <w:ilvl w:val="0"/>
          <w:numId w:val="2"/>
        </w:numPr>
        <w:ind w:leftChars="0"/>
        <w:rPr>
          <w:rFonts w:ascii="微軟正黑體" w:eastAsia="微軟正黑體" w:hAnsi="微軟正黑體"/>
          <w:color w:val="2B2B2B"/>
          <w:sz w:val="28"/>
          <w:szCs w:val="28"/>
        </w:rPr>
      </w:pPr>
      <w:r>
        <w:rPr>
          <w:rFonts w:ascii="微軟正黑體" w:eastAsia="微軟正黑體" w:hAnsi="微軟正黑體" w:hint="eastAsia"/>
          <w:color w:val="2B2B2B"/>
          <w:sz w:val="28"/>
          <w:szCs w:val="28"/>
        </w:rPr>
        <w:lastRenderedPageBreak/>
        <w:t>本案</w:t>
      </w:r>
      <w:r w:rsidR="00CE4A26" w:rsidRPr="00293975">
        <w:rPr>
          <w:rFonts w:ascii="微軟正黑體" w:eastAsia="微軟正黑體" w:hAnsi="微軟正黑體" w:hint="eastAsia"/>
          <w:color w:val="2B2B2B"/>
          <w:sz w:val="28"/>
          <w:szCs w:val="28"/>
        </w:rPr>
        <w:t>林員明知該違章建築應予拆除卻僅以</w:t>
      </w:r>
      <w:r w:rsidR="00CE4A26" w:rsidRPr="00293975">
        <w:rPr>
          <w:rFonts w:ascii="微軟正黑體" w:eastAsia="微軟正黑體" w:hAnsi="微軟正黑體" w:cs="Arial"/>
          <w:color w:val="000000"/>
          <w:sz w:val="28"/>
          <w:szCs w:val="28"/>
        </w:rPr>
        <w:t>拍照表示已查報拆除無復建，或稱屬既存違建而以拍照方式辦理結案</w:t>
      </w:r>
      <w:r w:rsidR="00CE4A26" w:rsidRPr="00293975">
        <w:rPr>
          <w:rFonts w:ascii="微軟正黑體" w:eastAsia="微軟正黑體" w:hAnsi="微軟正黑體" w:cs="Arial" w:hint="eastAsia"/>
          <w:color w:val="000000"/>
          <w:sz w:val="28"/>
          <w:szCs w:val="28"/>
        </w:rPr>
        <w:t>，屬明知故意。</w:t>
      </w:r>
    </w:p>
    <w:p w14:paraId="65021FB3" w14:textId="55B9DAE7" w:rsidR="004E3863" w:rsidRPr="00293975" w:rsidRDefault="004E3863" w:rsidP="004E3863">
      <w:pPr>
        <w:pStyle w:val="a3"/>
        <w:numPr>
          <w:ilvl w:val="0"/>
          <w:numId w:val="2"/>
        </w:numPr>
        <w:ind w:leftChars="0"/>
        <w:rPr>
          <w:rFonts w:ascii="微軟正黑體" w:eastAsia="微軟正黑體" w:hAnsi="微軟正黑體"/>
          <w:color w:val="2B2B2B"/>
          <w:sz w:val="28"/>
          <w:szCs w:val="28"/>
        </w:rPr>
      </w:pPr>
      <w:r w:rsidRPr="00293975">
        <w:rPr>
          <w:rFonts w:ascii="微軟正黑體" w:eastAsia="微軟正黑體" w:hAnsi="微軟正黑體" w:hint="eastAsia"/>
          <w:color w:val="2B2B2B"/>
          <w:sz w:val="28"/>
          <w:szCs w:val="28"/>
        </w:rPr>
        <w:t>本條例所稱之「不法利益」，</w:t>
      </w:r>
      <w:r w:rsidRPr="00293975">
        <w:rPr>
          <w:rFonts w:ascii="微軟正黑體" w:eastAsia="微軟正黑體" w:hAnsi="微軟正黑體" w:cs="Arial"/>
          <w:color w:val="000000"/>
          <w:sz w:val="28"/>
          <w:szCs w:val="28"/>
        </w:rPr>
        <w:t>包括現實財物及其他一切財產利益（包含有形、無形之財產利益及消極的應減少而未減少與積極增加之財產利益）。故祇須公務員對於主管或監督事務，因其積極作為，或消極不作為，與自己或其他私人獲有不法利益間，具有因果關係，即可成立圖利罪。</w:t>
      </w:r>
      <w:r w:rsidR="00293975" w:rsidRPr="00293975">
        <w:rPr>
          <w:rFonts w:ascii="微軟正黑體" w:eastAsia="微軟正黑體" w:hAnsi="微軟正黑體" w:cs="Arial" w:hint="eastAsia"/>
          <w:color w:val="000000"/>
          <w:sz w:val="28"/>
          <w:szCs w:val="28"/>
        </w:rPr>
        <w:t>本案依</w:t>
      </w:r>
      <w:r w:rsidR="00293975" w:rsidRPr="00293975">
        <w:rPr>
          <w:rFonts w:ascii="微軟正黑體" w:eastAsia="微軟正黑體" w:hAnsi="微軟正黑體" w:cs="Arial"/>
          <w:color w:val="000000"/>
          <w:sz w:val="28"/>
          <w:szCs w:val="28"/>
        </w:rPr>
        <w:t>違章建築處理辦法第5 條規定認定</w:t>
      </w:r>
      <w:r w:rsidR="00293975" w:rsidRPr="00293975">
        <w:rPr>
          <w:rFonts w:ascii="微軟正黑體" w:eastAsia="微軟正黑體" w:hAnsi="微軟正黑體" w:cs="Arial" w:hint="eastAsia"/>
          <w:color w:val="000000"/>
          <w:sz w:val="28"/>
          <w:szCs w:val="28"/>
        </w:rPr>
        <w:t>違章建築</w:t>
      </w:r>
      <w:r w:rsidR="00293975" w:rsidRPr="00293975">
        <w:rPr>
          <w:rFonts w:ascii="微軟正黑體" w:eastAsia="微軟正黑體" w:hAnsi="微軟正黑體" w:cs="Arial"/>
          <w:color w:val="000000"/>
          <w:sz w:val="28"/>
          <w:szCs w:val="28"/>
        </w:rPr>
        <w:t>必須拆除者，應即拆除之。若公務員明知應即予簽報、拆除，故意隱而不簽報或不予拆除，使該違章建築，得以繼續違法留存、用益，此種使原始起造人</w:t>
      </w:r>
      <w:r w:rsidR="00CF3148">
        <w:rPr>
          <w:rFonts w:ascii="微軟正黑體" w:eastAsia="微軟正黑體" w:hAnsi="微軟正黑體" w:cs="Arial" w:hint="eastAsia"/>
          <w:color w:val="000000"/>
          <w:sz w:val="28"/>
          <w:szCs w:val="28"/>
        </w:rPr>
        <w:t>獲有</w:t>
      </w:r>
      <w:r w:rsidR="00293975" w:rsidRPr="00293975">
        <w:rPr>
          <w:rFonts w:ascii="微軟正黑體" w:eastAsia="微軟正黑體" w:hAnsi="微軟正黑體" w:cs="Arial"/>
          <w:color w:val="000000"/>
          <w:sz w:val="28"/>
          <w:szCs w:val="28"/>
        </w:rPr>
        <w:t>整體用益部分，即應屬</w:t>
      </w:r>
      <w:r w:rsidR="00293975" w:rsidRPr="00293975">
        <w:rPr>
          <w:rStyle w:val="highlight"/>
          <w:rFonts w:ascii="微軟正黑體" w:eastAsia="微軟正黑體" w:hAnsi="微軟正黑體" w:cs="Arial"/>
          <w:color w:val="000000"/>
          <w:sz w:val="28"/>
          <w:szCs w:val="28"/>
        </w:rPr>
        <w:t>貪污治罪條例第6條第1項第4 款</w:t>
      </w:r>
      <w:r w:rsidR="00293975" w:rsidRPr="00293975">
        <w:rPr>
          <w:rFonts w:ascii="微軟正黑體" w:eastAsia="微軟正黑體" w:hAnsi="微軟正黑體" w:cs="Arial"/>
          <w:color w:val="000000"/>
          <w:sz w:val="28"/>
          <w:szCs w:val="28"/>
        </w:rPr>
        <w:t>規定之不法利益。</w:t>
      </w:r>
      <w:r w:rsidR="00CF3148">
        <w:rPr>
          <w:rFonts w:ascii="微軟正黑體" w:eastAsia="微軟正黑體" w:hAnsi="微軟正黑體" w:cs="Arial" w:hint="eastAsia"/>
          <w:color w:val="000000"/>
          <w:sz w:val="28"/>
          <w:szCs w:val="28"/>
        </w:rPr>
        <w:t>是故，林員之行為</w:t>
      </w:r>
      <w:r w:rsidR="00CF3148">
        <w:rPr>
          <w:rFonts w:ascii="微軟正黑體" w:eastAsia="微軟正黑體" w:hAnsi="微軟正黑體" w:cs="Arial" w:hint="eastAsia"/>
          <w:color w:val="000000"/>
          <w:sz w:val="28"/>
          <w:szCs w:val="28"/>
        </w:rPr>
        <w:t>構成</w:t>
      </w:r>
      <w:r w:rsidR="00CF3148" w:rsidRPr="00293975">
        <w:rPr>
          <w:rFonts w:ascii="微軟正黑體" w:eastAsia="微軟正黑體" w:hAnsi="微軟正黑體" w:cs="Arial"/>
          <w:color w:val="000000"/>
          <w:sz w:val="28"/>
          <w:szCs w:val="28"/>
        </w:rPr>
        <w:t>貪污治罪條例第6條第1項第4款所規定</w:t>
      </w:r>
      <w:r w:rsidR="00CF3148">
        <w:rPr>
          <w:rFonts w:ascii="微軟正黑體" w:eastAsia="微軟正黑體" w:hAnsi="微軟正黑體" w:cs="Arial" w:hint="eastAsia"/>
          <w:color w:val="000000"/>
          <w:sz w:val="28"/>
          <w:szCs w:val="28"/>
        </w:rPr>
        <w:t>對於主管監督事務圖利罪</w:t>
      </w:r>
      <w:r w:rsidR="00CF3148">
        <w:rPr>
          <w:rFonts w:ascii="微軟正黑體" w:eastAsia="微軟正黑體" w:hAnsi="微軟正黑體" w:cs="Arial" w:hint="eastAsia"/>
          <w:color w:val="000000"/>
          <w:sz w:val="28"/>
          <w:szCs w:val="28"/>
        </w:rPr>
        <w:t>。</w:t>
      </w:r>
    </w:p>
    <w:p w14:paraId="45EE7B05" w14:textId="73497B0A" w:rsidR="00626D96" w:rsidRPr="00293975" w:rsidRDefault="00626D96" w:rsidP="004E3863">
      <w:pPr>
        <w:rPr>
          <w:rFonts w:ascii="微軟正黑體" w:eastAsia="微軟正黑體" w:hAnsi="微軟正黑體"/>
          <w:b/>
          <w:bCs/>
          <w:color w:val="2B2B2B"/>
          <w:sz w:val="28"/>
          <w:szCs w:val="28"/>
        </w:rPr>
      </w:pPr>
      <w:r w:rsidRPr="00293975">
        <w:rPr>
          <w:rFonts w:ascii="微軟正黑體" w:eastAsia="微軟正黑體" w:hAnsi="微軟正黑體" w:hint="eastAsia"/>
          <w:b/>
          <w:bCs/>
          <w:color w:val="2B2B2B"/>
          <w:sz w:val="28"/>
          <w:szCs w:val="28"/>
        </w:rPr>
        <w:t>四、小結</w:t>
      </w:r>
    </w:p>
    <w:p w14:paraId="1185A5F9" w14:textId="226E50E4" w:rsidR="00F202FA" w:rsidRDefault="00843DCE" w:rsidP="004851DF">
      <w:pPr>
        <w:rPr>
          <w:rFonts w:ascii="微軟正黑體" w:eastAsia="微軟正黑體" w:hAnsi="微軟正黑體" w:hint="eastAsia"/>
          <w:color w:val="2B2B2B"/>
          <w:sz w:val="28"/>
          <w:szCs w:val="28"/>
        </w:rPr>
      </w:pPr>
      <w:r w:rsidRPr="00843DCE">
        <w:rPr>
          <w:rFonts w:ascii="微軟正黑體" w:eastAsia="微軟正黑體" w:hAnsi="微軟正黑體" w:hint="eastAsia"/>
          <w:color w:val="2B2B2B"/>
          <w:sz w:val="28"/>
          <w:szCs w:val="28"/>
        </w:rPr>
        <w:t>公務員應依法行政、勇於任事，不僅能夠保障自己公務生涯平安順遂，也能提升為民服務品質，為民眾與國家盡一己之力。</w:t>
      </w:r>
    </w:p>
    <w:p w14:paraId="48A004B6" w14:textId="517C3F3E" w:rsidR="00843DCE" w:rsidRDefault="00F202FA" w:rsidP="00F202FA">
      <w:pPr>
        <w:jc w:val="right"/>
        <w:rPr>
          <w:rFonts w:ascii="微軟正黑體" w:eastAsia="微軟正黑體" w:hAnsi="微軟正黑體"/>
          <w:color w:val="2B2B2B"/>
          <w:sz w:val="28"/>
          <w:szCs w:val="28"/>
        </w:rPr>
      </w:pPr>
      <w:r>
        <w:rPr>
          <w:rFonts w:ascii="微軟正黑體" w:eastAsia="微軟正黑體" w:hAnsi="微軟正黑體" w:hint="eastAsia"/>
          <w:color w:val="2B2B2B"/>
          <w:sz w:val="28"/>
          <w:szCs w:val="28"/>
        </w:rPr>
        <w:t xml:space="preserve">   </w:t>
      </w:r>
      <w:r w:rsidR="00DB05C8" w:rsidRPr="00DB05C8">
        <w:rPr>
          <w:rFonts w:ascii="微軟正黑體" w:eastAsia="微軟正黑體" w:hAnsi="微軟正黑體" w:hint="eastAsia"/>
          <w:color w:val="2B2B2B"/>
          <w:sz w:val="28"/>
          <w:szCs w:val="28"/>
        </w:rPr>
        <w:t>資料來源：</w:t>
      </w:r>
      <w:r w:rsidR="00DB05C8" w:rsidRPr="00DB05C8">
        <w:rPr>
          <w:rFonts w:ascii="微軟正黑體" w:eastAsia="微軟正黑體" w:hAnsi="微軟正黑體" w:cs="Arial"/>
          <w:color w:val="000000"/>
          <w:sz w:val="28"/>
          <w:szCs w:val="28"/>
        </w:rPr>
        <w:t>最高法院 109 年度台上大字第3214 號刑事裁定</w:t>
      </w:r>
    </w:p>
    <w:p w14:paraId="697AD8D9" w14:textId="1103B4B2" w:rsidR="00843DCE" w:rsidRPr="00843DCE" w:rsidRDefault="00B61788" w:rsidP="00843DCE">
      <w:pPr>
        <w:jc w:val="right"/>
        <w:rPr>
          <w:rFonts w:ascii="微軟正黑體" w:eastAsia="微軟正黑體" w:hAnsi="微軟正黑體"/>
          <w:color w:val="2B2B2B"/>
          <w:sz w:val="28"/>
          <w:szCs w:val="28"/>
        </w:rPr>
      </w:pPr>
      <w:r>
        <w:rPr>
          <w:rFonts w:ascii="微軟正黑體" w:eastAsia="微軟正黑體" w:hAnsi="微軟正黑體"/>
          <w:noProof/>
          <w:color w:val="2B2B2B"/>
          <w:sz w:val="28"/>
          <w:szCs w:val="28"/>
        </w:rPr>
        <w:drawing>
          <wp:anchor distT="0" distB="0" distL="114300" distR="114300" simplePos="0" relativeHeight="251658240" behindDoc="1" locked="0" layoutInCell="1" allowOverlap="1" wp14:anchorId="5D7D2220" wp14:editId="573527A6">
            <wp:simplePos x="0" y="0"/>
            <wp:positionH relativeFrom="margin">
              <wp:align>center</wp:align>
            </wp:positionH>
            <wp:positionV relativeFrom="paragraph">
              <wp:posOffset>180975</wp:posOffset>
            </wp:positionV>
            <wp:extent cx="3820058" cy="438211"/>
            <wp:effectExtent l="0" t="0" r="9525" b="0"/>
            <wp:wrapTight wrapText="bothSides">
              <wp:wrapPolygon edited="0">
                <wp:start x="0" y="0"/>
                <wp:lineTo x="0" y="20661"/>
                <wp:lineTo x="21546" y="20661"/>
                <wp:lineTo x="2154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a:extLst>
                        <a:ext uri="{28A0092B-C50C-407E-A947-70E740481C1C}">
                          <a14:useLocalDpi xmlns:a14="http://schemas.microsoft.com/office/drawing/2010/main" val="0"/>
                        </a:ext>
                      </a:extLst>
                    </a:blip>
                    <a:stretch>
                      <a:fillRect/>
                    </a:stretch>
                  </pic:blipFill>
                  <pic:spPr>
                    <a:xfrm>
                      <a:off x="0" y="0"/>
                      <a:ext cx="3820058" cy="438211"/>
                    </a:xfrm>
                    <a:prstGeom prst="rect">
                      <a:avLst/>
                    </a:prstGeom>
                  </pic:spPr>
                </pic:pic>
              </a:graphicData>
            </a:graphic>
          </wp:anchor>
        </w:drawing>
      </w:r>
    </w:p>
    <w:sectPr w:rsidR="00843DCE" w:rsidRPr="00843D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0D5A" w14:textId="77777777" w:rsidR="00CA68A9" w:rsidRDefault="00CA68A9" w:rsidP="00375637">
      <w:r>
        <w:separator/>
      </w:r>
    </w:p>
  </w:endnote>
  <w:endnote w:type="continuationSeparator" w:id="0">
    <w:p w14:paraId="4F56D086" w14:textId="77777777" w:rsidR="00CA68A9" w:rsidRDefault="00CA68A9" w:rsidP="0037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B90F" w14:textId="77777777" w:rsidR="00CA68A9" w:rsidRDefault="00CA68A9" w:rsidP="00375637">
      <w:r>
        <w:separator/>
      </w:r>
    </w:p>
  </w:footnote>
  <w:footnote w:type="continuationSeparator" w:id="0">
    <w:p w14:paraId="255AAC65" w14:textId="77777777" w:rsidR="00CA68A9" w:rsidRDefault="00CA68A9" w:rsidP="0037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DFF"/>
    <w:multiLevelType w:val="hybridMultilevel"/>
    <w:tmpl w:val="F0383A5A"/>
    <w:lvl w:ilvl="0" w:tplc="300202CA">
      <w:start w:val="1"/>
      <w:numFmt w:val="taiwaneseCountingThousand"/>
      <w:lvlText w:val="(%1)"/>
      <w:lvlJc w:val="left"/>
      <w:pPr>
        <w:ind w:left="495" w:hanging="495"/>
      </w:pPr>
      <w:rPr>
        <w:rFonts w:hint="default"/>
      </w:rPr>
    </w:lvl>
    <w:lvl w:ilvl="1" w:tplc="E9F028C4">
      <w:start w:val="1"/>
      <w:numFmt w:val="decimal"/>
      <w:lvlText w:val="%2、"/>
      <w:lvlJc w:val="left"/>
      <w:pPr>
        <w:ind w:left="840" w:hanging="360"/>
      </w:pPr>
      <w:rPr>
        <w:rFonts w:hint="default"/>
      </w:rPr>
    </w:lvl>
    <w:lvl w:ilvl="2" w:tplc="019C3DA4">
      <w:start w:val="4"/>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00C6E"/>
    <w:multiLevelType w:val="hybridMultilevel"/>
    <w:tmpl w:val="ADF62DC6"/>
    <w:lvl w:ilvl="0" w:tplc="9A38C31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C1780F"/>
    <w:multiLevelType w:val="hybridMultilevel"/>
    <w:tmpl w:val="295AE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C8"/>
    <w:rsid w:val="00060DC8"/>
    <w:rsid w:val="00237BD7"/>
    <w:rsid w:val="00292A1B"/>
    <w:rsid w:val="00293975"/>
    <w:rsid w:val="002B2472"/>
    <w:rsid w:val="00375637"/>
    <w:rsid w:val="0044486B"/>
    <w:rsid w:val="004851DF"/>
    <w:rsid w:val="00494C80"/>
    <w:rsid w:val="004E3863"/>
    <w:rsid w:val="005523B1"/>
    <w:rsid w:val="005F4D87"/>
    <w:rsid w:val="00602CE9"/>
    <w:rsid w:val="00626D96"/>
    <w:rsid w:val="00644C26"/>
    <w:rsid w:val="00703A69"/>
    <w:rsid w:val="00770721"/>
    <w:rsid w:val="00843DCE"/>
    <w:rsid w:val="00A303C3"/>
    <w:rsid w:val="00A5357F"/>
    <w:rsid w:val="00B2158B"/>
    <w:rsid w:val="00B61788"/>
    <w:rsid w:val="00BB1C1A"/>
    <w:rsid w:val="00CA68A9"/>
    <w:rsid w:val="00CE2AA1"/>
    <w:rsid w:val="00CE4A26"/>
    <w:rsid w:val="00CF3148"/>
    <w:rsid w:val="00DB05C8"/>
    <w:rsid w:val="00DE31DD"/>
    <w:rsid w:val="00E10CC3"/>
    <w:rsid w:val="00E2062E"/>
    <w:rsid w:val="00E57EF1"/>
    <w:rsid w:val="00EA38FF"/>
    <w:rsid w:val="00F16D9B"/>
    <w:rsid w:val="00F202FA"/>
    <w:rsid w:val="00F65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2E2E5"/>
  <w15:chartTrackingRefBased/>
  <w15:docId w15:val="{7F869CCC-62E4-46DB-B8B6-818D95E4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DC8"/>
    <w:pPr>
      <w:ind w:leftChars="200" w:left="480"/>
    </w:pPr>
  </w:style>
  <w:style w:type="paragraph" w:styleId="a4">
    <w:name w:val="header"/>
    <w:basedOn w:val="a"/>
    <w:link w:val="a5"/>
    <w:uiPriority w:val="99"/>
    <w:unhideWhenUsed/>
    <w:rsid w:val="00375637"/>
    <w:pPr>
      <w:tabs>
        <w:tab w:val="center" w:pos="4153"/>
        <w:tab w:val="right" w:pos="8306"/>
      </w:tabs>
      <w:snapToGrid w:val="0"/>
    </w:pPr>
    <w:rPr>
      <w:sz w:val="20"/>
      <w:szCs w:val="20"/>
    </w:rPr>
  </w:style>
  <w:style w:type="character" w:customStyle="1" w:styleId="a5">
    <w:name w:val="頁首 字元"/>
    <w:basedOn w:val="a0"/>
    <w:link w:val="a4"/>
    <w:uiPriority w:val="99"/>
    <w:rsid w:val="00375637"/>
    <w:rPr>
      <w:sz w:val="20"/>
      <w:szCs w:val="20"/>
    </w:rPr>
  </w:style>
  <w:style w:type="paragraph" w:styleId="a6">
    <w:name w:val="footer"/>
    <w:basedOn w:val="a"/>
    <w:link w:val="a7"/>
    <w:uiPriority w:val="99"/>
    <w:unhideWhenUsed/>
    <w:rsid w:val="00375637"/>
    <w:pPr>
      <w:tabs>
        <w:tab w:val="center" w:pos="4153"/>
        <w:tab w:val="right" w:pos="8306"/>
      </w:tabs>
      <w:snapToGrid w:val="0"/>
    </w:pPr>
    <w:rPr>
      <w:sz w:val="20"/>
      <w:szCs w:val="20"/>
    </w:rPr>
  </w:style>
  <w:style w:type="character" w:customStyle="1" w:styleId="a7">
    <w:name w:val="頁尾 字元"/>
    <w:basedOn w:val="a0"/>
    <w:link w:val="a6"/>
    <w:uiPriority w:val="99"/>
    <w:rsid w:val="00375637"/>
    <w:rPr>
      <w:sz w:val="20"/>
      <w:szCs w:val="20"/>
    </w:rPr>
  </w:style>
  <w:style w:type="character" w:customStyle="1" w:styleId="highlight">
    <w:name w:val="highlight"/>
    <w:basedOn w:val="a0"/>
    <w:rsid w:val="0029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劉愛婷</dc:creator>
  <cp:keywords/>
  <dc:description/>
  <cp:lastModifiedBy>劉愛婷</cp:lastModifiedBy>
  <cp:revision>25</cp:revision>
  <dcterms:created xsi:type="dcterms:W3CDTF">2021-05-31T06:17:00Z</dcterms:created>
  <dcterms:modified xsi:type="dcterms:W3CDTF">2021-06-04T01:13:00Z</dcterms:modified>
</cp:coreProperties>
</file>