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16E" w:rsidRPr="00552DF0" w:rsidRDefault="00B175DE">
      <w:pPr>
        <w:ind w:left="1201" w:hanging="641"/>
        <w:jc w:val="center"/>
      </w:pPr>
      <w:r w:rsidRPr="00552DF0">
        <w:rPr>
          <w:rFonts w:ascii="標楷體" w:hAnsi="標楷體"/>
          <w:b/>
          <w:sz w:val="32"/>
          <w:szCs w:val="32"/>
        </w:rPr>
        <w:t>桃園</w:t>
      </w:r>
      <w:r w:rsidRPr="00552DF0">
        <w:rPr>
          <w:b/>
          <w:sz w:val="32"/>
          <w:szCs w:val="32"/>
        </w:rPr>
        <w:t>市公庫收支</w:t>
      </w:r>
      <w:r w:rsidRPr="00552DF0">
        <w:rPr>
          <w:rFonts w:ascii="標楷體" w:hAnsi="標楷體"/>
          <w:b/>
          <w:sz w:val="32"/>
          <w:szCs w:val="32"/>
        </w:rPr>
        <w:t>編製說明</w:t>
      </w:r>
    </w:p>
    <w:p w:rsidR="0039216E" w:rsidRPr="00552DF0" w:rsidRDefault="00B175DE">
      <w:pPr>
        <w:spacing w:line="300" w:lineRule="auto"/>
        <w:ind w:left="480" w:hanging="480"/>
      </w:pPr>
      <w:r w:rsidRPr="00552DF0">
        <w:rPr>
          <w:rFonts w:ascii="標楷體" w:hAnsi="標楷體"/>
          <w:sz w:val="24"/>
        </w:rPr>
        <w:t>一、統計範圍及對象：</w:t>
      </w:r>
      <w:r w:rsidRPr="00552DF0">
        <w:rPr>
          <w:spacing w:val="10"/>
          <w:sz w:val="24"/>
          <w:szCs w:val="24"/>
        </w:rPr>
        <w:t>以本市公庫現金收支事項為統計範圍及對象</w:t>
      </w:r>
      <w:r w:rsidRPr="00552DF0">
        <w:rPr>
          <w:sz w:val="24"/>
          <w:szCs w:val="24"/>
        </w:rPr>
        <w:t>。</w:t>
      </w:r>
    </w:p>
    <w:p w:rsidR="0039216E" w:rsidRPr="00552DF0" w:rsidRDefault="00B175DE">
      <w:pPr>
        <w:spacing w:line="300" w:lineRule="auto"/>
        <w:ind w:left="480" w:hanging="480"/>
      </w:pPr>
      <w:r w:rsidRPr="00552DF0">
        <w:rPr>
          <w:rFonts w:ascii="標楷體" w:hAnsi="標楷體"/>
          <w:sz w:val="24"/>
          <w:szCs w:val="24"/>
        </w:rPr>
        <w:t>二、統計標準時間：</w:t>
      </w:r>
      <w:r w:rsidRPr="00552DF0">
        <w:rPr>
          <w:sz w:val="24"/>
          <w:szCs w:val="24"/>
        </w:rPr>
        <w:t>以每月</w:t>
      </w:r>
      <w:r w:rsidRPr="00552DF0">
        <w:rPr>
          <w:sz w:val="24"/>
          <w:szCs w:val="24"/>
        </w:rPr>
        <w:t>1</w:t>
      </w:r>
      <w:r w:rsidRPr="00552DF0">
        <w:rPr>
          <w:sz w:val="24"/>
          <w:szCs w:val="24"/>
        </w:rPr>
        <w:t>日至月底之事實為準。</w:t>
      </w:r>
    </w:p>
    <w:p w:rsidR="0039216E" w:rsidRPr="00552DF0" w:rsidRDefault="00B175DE">
      <w:pPr>
        <w:spacing w:line="300" w:lineRule="auto"/>
        <w:ind w:left="480" w:hanging="480"/>
        <w:rPr>
          <w:rFonts w:ascii="標楷體" w:hAnsi="標楷體"/>
          <w:sz w:val="24"/>
        </w:rPr>
      </w:pPr>
      <w:r w:rsidRPr="00552DF0">
        <w:rPr>
          <w:rFonts w:ascii="標楷體" w:hAnsi="標楷體"/>
          <w:sz w:val="24"/>
        </w:rPr>
        <w:t>三、分類標準：依本年度(總預算</w:t>
      </w:r>
      <w:bookmarkStart w:id="0" w:name="_GoBack"/>
      <w:bookmarkEnd w:id="0"/>
      <w:r w:rsidRPr="00552DF0">
        <w:rPr>
          <w:rFonts w:ascii="標楷體" w:hAnsi="標楷體"/>
          <w:sz w:val="24"/>
        </w:rPr>
        <w:t>)、以前年度(總預算)、特別預算及預算外之收入、支出，分別填列本月數、累計數。</w:t>
      </w:r>
    </w:p>
    <w:p w:rsidR="0039216E" w:rsidRPr="00552DF0" w:rsidRDefault="00B175DE">
      <w:pPr>
        <w:spacing w:line="300" w:lineRule="auto"/>
        <w:ind w:left="480" w:hanging="480"/>
        <w:rPr>
          <w:rFonts w:ascii="標楷體" w:hAnsi="標楷體"/>
          <w:sz w:val="24"/>
        </w:rPr>
      </w:pPr>
      <w:r w:rsidRPr="00552DF0">
        <w:rPr>
          <w:rFonts w:ascii="標楷體" w:hAnsi="標楷體"/>
          <w:sz w:val="24"/>
        </w:rPr>
        <w:t>四、統計項目定義：</w:t>
      </w:r>
    </w:p>
    <w:p w:rsidR="0039216E" w:rsidRPr="00552DF0" w:rsidRDefault="00B175DE">
      <w:pPr>
        <w:spacing w:line="300" w:lineRule="auto"/>
        <w:ind w:left="477" w:hanging="194"/>
      </w:pPr>
      <w:r w:rsidRPr="00552DF0">
        <w:rPr>
          <w:rFonts w:ascii="標楷體" w:hAnsi="標楷體"/>
          <w:sz w:val="24"/>
          <w:szCs w:val="24"/>
        </w:rPr>
        <w:t>(一)</w:t>
      </w:r>
      <w:r w:rsidRPr="00552DF0">
        <w:rPr>
          <w:rFonts w:ascii="標楷體" w:hAnsi="標楷體"/>
          <w:sz w:val="24"/>
        </w:rPr>
        <w:t>收入科目</w:t>
      </w:r>
    </w:p>
    <w:p w:rsidR="0039216E" w:rsidRPr="00552DF0" w:rsidRDefault="00B175DE">
      <w:pPr>
        <w:spacing w:line="300" w:lineRule="auto"/>
        <w:ind w:left="560" w:firstLine="120"/>
        <w:rPr>
          <w:rFonts w:ascii="標楷體" w:hAnsi="標楷體"/>
          <w:sz w:val="24"/>
        </w:rPr>
      </w:pPr>
      <w:r w:rsidRPr="00552DF0">
        <w:rPr>
          <w:rFonts w:ascii="標楷體" w:hAnsi="標楷體"/>
          <w:sz w:val="24"/>
        </w:rPr>
        <w:t>1.參照預算法、財政收支劃分法及其他相關法令規定之收入科目定義。</w:t>
      </w:r>
    </w:p>
    <w:p w:rsidR="0039216E" w:rsidRPr="00552DF0" w:rsidRDefault="00B175DE">
      <w:pPr>
        <w:spacing w:line="300" w:lineRule="auto"/>
        <w:ind w:left="560" w:firstLine="120"/>
        <w:rPr>
          <w:rFonts w:ascii="標楷體" w:hAnsi="標楷體"/>
          <w:sz w:val="24"/>
        </w:rPr>
      </w:pPr>
      <w:r w:rsidRPr="00552DF0">
        <w:rPr>
          <w:rFonts w:ascii="標楷體" w:hAnsi="標楷體"/>
          <w:sz w:val="24"/>
        </w:rPr>
        <w:t>2.參照各年度歲入預算科目，依財政部「公庫收支網際網路報送相關科目」填列。</w:t>
      </w:r>
    </w:p>
    <w:p w:rsidR="0039216E" w:rsidRPr="00552DF0" w:rsidRDefault="00B175DE">
      <w:pPr>
        <w:spacing w:line="300" w:lineRule="auto"/>
        <w:ind w:left="0" w:firstLine="283"/>
      </w:pPr>
      <w:r w:rsidRPr="00552DF0">
        <w:rPr>
          <w:rFonts w:ascii="標楷體" w:hAnsi="標楷體"/>
          <w:sz w:val="24"/>
          <w:szCs w:val="24"/>
        </w:rPr>
        <w:t>(二)</w:t>
      </w:r>
      <w:r w:rsidRPr="00552DF0">
        <w:rPr>
          <w:rFonts w:ascii="標楷體" w:hAnsi="標楷體"/>
          <w:sz w:val="24"/>
        </w:rPr>
        <w:t>支出科目</w:t>
      </w:r>
    </w:p>
    <w:p w:rsidR="0039216E" w:rsidRPr="00552DF0" w:rsidRDefault="00B175DE">
      <w:pPr>
        <w:spacing w:line="300" w:lineRule="auto"/>
        <w:ind w:left="560" w:firstLine="0"/>
        <w:rPr>
          <w:rFonts w:ascii="標楷體" w:hAnsi="標楷體"/>
          <w:sz w:val="24"/>
        </w:rPr>
      </w:pPr>
      <w:r w:rsidRPr="00552DF0">
        <w:rPr>
          <w:rFonts w:ascii="標楷體" w:hAnsi="標楷體"/>
          <w:sz w:val="24"/>
        </w:rPr>
        <w:t xml:space="preserve">1.參照預算法、財政收支劃分法及其他相關法令規定之支出科目定義。                     </w:t>
      </w:r>
    </w:p>
    <w:p w:rsidR="0039216E" w:rsidRPr="00552DF0" w:rsidRDefault="00B175DE">
      <w:pPr>
        <w:spacing w:line="300" w:lineRule="auto"/>
        <w:ind w:left="560" w:firstLine="0"/>
        <w:rPr>
          <w:rFonts w:ascii="標楷體" w:hAnsi="標楷體"/>
          <w:sz w:val="24"/>
        </w:rPr>
      </w:pPr>
      <w:r w:rsidRPr="00552DF0">
        <w:rPr>
          <w:rFonts w:ascii="標楷體" w:hAnsi="標楷體"/>
          <w:sz w:val="24"/>
        </w:rPr>
        <w:t>2.參照各年度歲出預算科目，依財政部「公庫收支網際網路報送相關科目」填列。</w:t>
      </w:r>
    </w:p>
    <w:p w:rsidR="0039216E" w:rsidRPr="00552DF0" w:rsidRDefault="00B175DE">
      <w:pPr>
        <w:spacing w:line="300" w:lineRule="auto"/>
        <w:ind w:left="760" w:hanging="480"/>
      </w:pPr>
      <w:r w:rsidRPr="00552DF0">
        <w:rPr>
          <w:rFonts w:ascii="標楷體" w:hAnsi="標楷體"/>
          <w:sz w:val="24"/>
          <w:szCs w:val="24"/>
        </w:rPr>
        <w:t>(三)</w:t>
      </w:r>
      <w:r w:rsidRPr="00552DF0">
        <w:rPr>
          <w:rFonts w:ascii="標楷體" w:hAnsi="標楷體"/>
          <w:sz w:val="24"/>
        </w:rPr>
        <w:t>本表應依規定期限編送，次月二十日前編報；於年度結束當月份之月報，應編送至公庫收支結束期限為止，並於次月月底前編報，另於決算數產生時編製修正表，其資料應與總決算書內「公庫年度出納終結報告」相符。</w:t>
      </w:r>
    </w:p>
    <w:p w:rsidR="0039216E" w:rsidRPr="00552DF0" w:rsidRDefault="00B175DE">
      <w:pPr>
        <w:spacing w:line="300" w:lineRule="auto"/>
        <w:ind w:left="480" w:hanging="480"/>
        <w:rPr>
          <w:rFonts w:ascii="標楷體" w:hAnsi="標楷體"/>
          <w:sz w:val="24"/>
        </w:rPr>
      </w:pPr>
      <w:r w:rsidRPr="00552DF0">
        <w:rPr>
          <w:rFonts w:ascii="標楷體" w:hAnsi="標楷體"/>
          <w:sz w:val="24"/>
        </w:rPr>
        <w:t>五、資料蒐集方法及編製程序：由本局根據公庫收入、支出資料編製。</w:t>
      </w:r>
    </w:p>
    <w:p w:rsidR="008B2484" w:rsidRPr="00F47CFF" w:rsidRDefault="00B175DE" w:rsidP="006D67BE">
      <w:pPr>
        <w:snapToGrid w:val="0"/>
        <w:spacing w:line="300" w:lineRule="auto"/>
        <w:ind w:left="1699" w:hangingChars="708" w:hanging="1699"/>
        <w:rPr>
          <w:rFonts w:ascii="標楷體" w:hAnsi="標楷體"/>
          <w:sz w:val="24"/>
          <w:szCs w:val="24"/>
        </w:rPr>
      </w:pPr>
      <w:r w:rsidRPr="00552DF0">
        <w:rPr>
          <w:rFonts w:ascii="標楷體" w:hAnsi="標楷體"/>
          <w:sz w:val="24"/>
        </w:rPr>
        <w:t>六、編送對象：</w:t>
      </w:r>
      <w:r w:rsidRPr="00F47CFF">
        <w:rPr>
          <w:rFonts w:ascii="標楷體" w:hAnsi="標楷體"/>
          <w:sz w:val="24"/>
        </w:rPr>
        <w:t>本表應於編製期限內經網際網路上傳至財政部統計處及桃園市政府公務統計行政管理系統</w:t>
      </w:r>
      <w:r w:rsidR="008B2484" w:rsidRPr="00F47CFF">
        <w:rPr>
          <w:rFonts w:ascii="標楷體" w:hAnsi="標楷體" w:hint="eastAsia"/>
          <w:sz w:val="24"/>
          <w:szCs w:val="24"/>
        </w:rPr>
        <w:t>。</w:t>
      </w:r>
    </w:p>
    <w:p w:rsidR="0039216E" w:rsidRPr="00F47CFF" w:rsidRDefault="0039216E" w:rsidP="008B2484">
      <w:pPr>
        <w:spacing w:line="300" w:lineRule="auto"/>
        <w:ind w:left="480" w:hanging="480"/>
      </w:pPr>
    </w:p>
    <w:sectPr w:rsidR="0039216E" w:rsidRPr="00F47CFF">
      <w:pgSz w:w="16838" w:h="11906" w:orient="landscape"/>
      <w:pgMar w:top="1800" w:right="1440" w:bottom="1800" w:left="1440" w:header="0" w:footer="0" w:gutter="0"/>
      <w:cols w:space="720"/>
      <w:formProt w:val="0"/>
      <w:docGrid w:type="lines" w:linePitch="360"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4A4" w:rsidRDefault="000024A4" w:rsidP="008B2484">
      <w:r>
        <w:separator/>
      </w:r>
    </w:p>
  </w:endnote>
  <w:endnote w:type="continuationSeparator" w:id="0">
    <w:p w:rsidR="000024A4" w:rsidRDefault="000024A4" w:rsidP="008B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4A4" w:rsidRDefault="000024A4" w:rsidP="008B2484">
      <w:r>
        <w:separator/>
      </w:r>
    </w:p>
  </w:footnote>
  <w:footnote w:type="continuationSeparator" w:id="0">
    <w:p w:rsidR="000024A4" w:rsidRDefault="000024A4" w:rsidP="008B2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9216E"/>
    <w:rsid w:val="000024A4"/>
    <w:rsid w:val="00370AD4"/>
    <w:rsid w:val="0039216E"/>
    <w:rsid w:val="0048485F"/>
    <w:rsid w:val="00552DF0"/>
    <w:rsid w:val="006D67BE"/>
    <w:rsid w:val="007655A2"/>
    <w:rsid w:val="008B2484"/>
    <w:rsid w:val="009F576E"/>
    <w:rsid w:val="00A95C6F"/>
    <w:rsid w:val="00B175DE"/>
    <w:rsid w:val="00F47C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CDFA25-5686-4217-A439-1D5CD313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ind w:left="400" w:hanging="200"/>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Arial" w:eastAsia="新細明體" w:hAnsi="Arial" w:cs="Mangal"/>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qFormat/>
    <w:pPr>
      <w:suppressLineNumbers/>
    </w:pPr>
    <w:rPr>
      <w:rFonts w:cs="Mangal"/>
    </w:rPr>
  </w:style>
  <w:style w:type="paragraph" w:styleId="a8">
    <w:name w:val="header"/>
    <w:basedOn w:val="a"/>
    <w:link w:val="a9"/>
    <w:uiPriority w:val="99"/>
    <w:unhideWhenUsed/>
    <w:rsid w:val="008B2484"/>
    <w:pPr>
      <w:tabs>
        <w:tab w:val="center" w:pos="4153"/>
        <w:tab w:val="right" w:pos="8306"/>
      </w:tabs>
      <w:snapToGrid w:val="0"/>
    </w:pPr>
    <w:rPr>
      <w:sz w:val="20"/>
    </w:rPr>
  </w:style>
  <w:style w:type="character" w:customStyle="1" w:styleId="a9">
    <w:name w:val="頁首 字元"/>
    <w:basedOn w:val="a0"/>
    <w:link w:val="a8"/>
    <w:uiPriority w:val="99"/>
    <w:rsid w:val="008B2484"/>
    <w:rPr>
      <w:rFonts w:ascii="Times New Roman" w:eastAsia="標楷體" w:hAnsi="Times New Roman" w:cs="Times New Roman"/>
      <w:sz w:val="20"/>
      <w:szCs w:val="20"/>
    </w:rPr>
  </w:style>
  <w:style w:type="paragraph" w:styleId="aa">
    <w:name w:val="footer"/>
    <w:basedOn w:val="a"/>
    <w:link w:val="ab"/>
    <w:uiPriority w:val="99"/>
    <w:unhideWhenUsed/>
    <w:rsid w:val="008B2484"/>
    <w:pPr>
      <w:tabs>
        <w:tab w:val="center" w:pos="4153"/>
        <w:tab w:val="right" w:pos="8306"/>
      </w:tabs>
      <w:snapToGrid w:val="0"/>
    </w:pPr>
    <w:rPr>
      <w:sz w:val="20"/>
    </w:rPr>
  </w:style>
  <w:style w:type="character" w:customStyle="1" w:styleId="ab">
    <w:name w:val="頁尾 字元"/>
    <w:basedOn w:val="a0"/>
    <w:link w:val="aa"/>
    <w:uiPriority w:val="99"/>
    <w:rsid w:val="008B2484"/>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胡雅婷</dc:creator>
  <dc:description/>
  <cp:lastModifiedBy>倪微琇</cp:lastModifiedBy>
  <cp:revision>9</cp:revision>
  <dcterms:created xsi:type="dcterms:W3CDTF">2016-05-26T06:17:00Z</dcterms:created>
  <dcterms:modified xsi:type="dcterms:W3CDTF">2021-10-26T08:17:00Z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