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A6" w:rsidRPr="002C7F7D" w:rsidRDefault="006076A6" w:rsidP="006076A6">
      <w:pPr>
        <w:tabs>
          <w:tab w:val="left" w:pos="426"/>
          <w:tab w:val="left" w:pos="10104"/>
        </w:tabs>
        <w:ind w:left="1201" w:hanging="641"/>
        <w:jc w:val="center"/>
        <w:rPr>
          <w:rFonts w:ascii="標楷體" w:hAnsi="標楷體"/>
          <w:b/>
          <w:sz w:val="32"/>
          <w:szCs w:val="32"/>
        </w:rPr>
      </w:pPr>
      <w:r w:rsidRPr="002C7F7D">
        <w:rPr>
          <w:rFonts w:ascii="標楷體" w:hAnsi="標楷體" w:hint="eastAsia"/>
          <w:b/>
          <w:sz w:val="32"/>
          <w:szCs w:val="32"/>
        </w:rPr>
        <w:t>桃園市政府財產量值總目錄編製說明</w:t>
      </w:r>
    </w:p>
    <w:p w:rsidR="006076A6" w:rsidRPr="002C7F7D" w:rsidRDefault="006076A6" w:rsidP="002D3FFA">
      <w:pPr>
        <w:pStyle w:val="a3"/>
        <w:numPr>
          <w:ilvl w:val="0"/>
          <w:numId w:val="1"/>
        </w:numPr>
        <w:tabs>
          <w:tab w:val="left" w:pos="567"/>
        </w:tabs>
        <w:ind w:leftChars="0" w:left="426" w:hanging="426"/>
        <w:rPr>
          <w:rFonts w:ascii="標楷體" w:eastAsia="標楷體" w:hAnsi="標楷體"/>
          <w:szCs w:val="24"/>
        </w:rPr>
      </w:pPr>
      <w:r w:rsidRPr="002C7F7D">
        <w:rPr>
          <w:rFonts w:ascii="標楷體" w:eastAsia="標楷體" w:hAnsi="標楷體" w:hint="eastAsia"/>
          <w:szCs w:val="24"/>
        </w:rPr>
        <w:t>統計地區及範</w:t>
      </w:r>
      <w:bookmarkStart w:id="0" w:name="_GoBack"/>
      <w:bookmarkEnd w:id="0"/>
      <w:r w:rsidRPr="002C7F7D">
        <w:rPr>
          <w:rFonts w:ascii="標楷體" w:eastAsia="標楷體" w:hAnsi="標楷體" w:hint="eastAsia"/>
          <w:szCs w:val="24"/>
        </w:rPr>
        <w:t>圍及對象：凡在桃園市政府所屬各機關學校均為統計對象。</w:t>
      </w:r>
    </w:p>
    <w:p w:rsidR="006076A6" w:rsidRPr="002C7F7D" w:rsidRDefault="006076A6" w:rsidP="002D3FFA">
      <w:pPr>
        <w:pStyle w:val="a3"/>
        <w:numPr>
          <w:ilvl w:val="0"/>
          <w:numId w:val="1"/>
        </w:numPr>
        <w:tabs>
          <w:tab w:val="left" w:pos="567"/>
        </w:tabs>
        <w:ind w:leftChars="0" w:left="426" w:hanging="426"/>
        <w:rPr>
          <w:rFonts w:ascii="標楷體" w:eastAsia="標楷體" w:hAnsi="標楷體"/>
          <w:szCs w:val="24"/>
        </w:rPr>
      </w:pPr>
      <w:r w:rsidRPr="002C7F7D">
        <w:rPr>
          <w:rFonts w:ascii="標楷體" w:eastAsia="標楷體" w:hAnsi="標楷體" w:hint="eastAsia"/>
          <w:szCs w:val="24"/>
        </w:rPr>
        <w:t>統計標準時間：以每年12月31日之事實為準。</w:t>
      </w:r>
    </w:p>
    <w:p w:rsidR="006076A6" w:rsidRPr="002C7F7D" w:rsidRDefault="006076A6" w:rsidP="002D3FFA">
      <w:pPr>
        <w:pStyle w:val="a3"/>
        <w:numPr>
          <w:ilvl w:val="0"/>
          <w:numId w:val="1"/>
        </w:numPr>
        <w:tabs>
          <w:tab w:val="left" w:pos="567"/>
        </w:tabs>
        <w:ind w:leftChars="0" w:left="426" w:hanging="426"/>
        <w:rPr>
          <w:rFonts w:ascii="標楷體" w:eastAsia="標楷體" w:hAnsi="標楷體"/>
          <w:szCs w:val="24"/>
        </w:rPr>
      </w:pPr>
      <w:r w:rsidRPr="002C7F7D">
        <w:rPr>
          <w:rFonts w:ascii="標楷體" w:eastAsia="標楷體" w:hAnsi="標楷體" w:hint="eastAsia"/>
          <w:szCs w:val="24"/>
        </w:rPr>
        <w:t>分類標準：依照行政院主計總處訂頒財物分類標準。</w:t>
      </w:r>
    </w:p>
    <w:p w:rsidR="006076A6" w:rsidRPr="002C7F7D" w:rsidRDefault="006076A6" w:rsidP="002D3FFA">
      <w:pPr>
        <w:pStyle w:val="a3"/>
        <w:numPr>
          <w:ilvl w:val="0"/>
          <w:numId w:val="1"/>
        </w:numPr>
        <w:tabs>
          <w:tab w:val="left" w:pos="567"/>
        </w:tabs>
        <w:ind w:leftChars="0" w:left="426" w:hanging="426"/>
        <w:rPr>
          <w:rFonts w:ascii="標楷體" w:eastAsia="標楷體" w:hAnsi="標楷體"/>
          <w:szCs w:val="24"/>
        </w:rPr>
      </w:pPr>
      <w:r w:rsidRPr="002C7F7D">
        <w:rPr>
          <w:rFonts w:ascii="標楷體" w:eastAsia="標楷體" w:hAnsi="標楷體" w:hint="eastAsia"/>
          <w:szCs w:val="24"/>
        </w:rPr>
        <w:t>統計項目定義：</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(一)土地：含房屋基地、其他建築用地、直接生產用地、交通水利用地、荒蕪地及公園用地等。</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(二)土地改良物：指使土地到達可使用狀態，並附著於土地，且壽年有限，除房屋及建築以外之不動產，如橋樑、圍牆等。</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(三)房屋建築及設備：含房屋及設備、其他建築及設備等。</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(四)機械及設備：含工業機械及設備、礦業機械及設備、電氣機械及設備等、農林機械及設備、建築機械及設備等。</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(五)交通及運輸設備：含陸運設備、水運設備、空運設備等、氣象設備、電信設備、郵遞設備、交通系統控制設備等。</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(六)雜項設備：含事務設備、防護設備、圖書設備等、博物、動物等。</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(七)有價證券：指股份、股票、債券及其他有價證券。</w:t>
      </w:r>
    </w:p>
    <w:p w:rsidR="006076A6" w:rsidRPr="002C7F7D" w:rsidRDefault="006076A6" w:rsidP="006076A6">
      <w:pPr>
        <w:pStyle w:val="a3"/>
        <w:tabs>
          <w:tab w:val="left" w:pos="426"/>
        </w:tabs>
        <w:ind w:leftChars="0" w:left="0" w:firstLineChars="150" w:firstLine="360"/>
        <w:rPr>
          <w:rFonts w:ascii="標楷體" w:eastAsia="標楷體" w:hAnsi="標楷體"/>
          <w:szCs w:val="24"/>
        </w:rPr>
      </w:pPr>
      <w:r w:rsidRPr="002C7F7D">
        <w:rPr>
          <w:rFonts w:ascii="標楷體" w:eastAsia="標楷體" w:hAnsi="標楷體" w:hint="eastAsia"/>
          <w:szCs w:val="24"/>
        </w:rPr>
        <w:t>(八)權利：指地上權、地役權、典權、抵押權及其他財產上之權利。</w:t>
      </w:r>
    </w:p>
    <w:p w:rsidR="006076A6" w:rsidRPr="002C7F7D" w:rsidRDefault="006076A6" w:rsidP="006076A6">
      <w:pPr>
        <w:snapToGrid w:val="0"/>
        <w:spacing w:line="300" w:lineRule="auto"/>
        <w:ind w:leftChars="0" w:left="199" w:hangingChars="83" w:hanging="199"/>
        <w:rPr>
          <w:rFonts w:ascii="標楷體" w:hAnsi="標楷體"/>
          <w:sz w:val="24"/>
          <w:szCs w:val="24"/>
        </w:rPr>
      </w:pPr>
      <w:r w:rsidRPr="002C7F7D">
        <w:rPr>
          <w:rFonts w:ascii="標楷體" w:hAnsi="標楷體" w:hint="eastAsia"/>
          <w:sz w:val="24"/>
          <w:szCs w:val="24"/>
        </w:rPr>
        <w:t>五、資料蒐集方法及編製程序：依據各機關學校及區公所財產資料彙編。</w:t>
      </w:r>
    </w:p>
    <w:p w:rsidR="006076A6" w:rsidRPr="00665C12" w:rsidRDefault="006076A6" w:rsidP="006076A6">
      <w:pPr>
        <w:snapToGrid w:val="0"/>
        <w:spacing w:line="300" w:lineRule="auto"/>
        <w:ind w:leftChars="0" w:left="199" w:hangingChars="83" w:hanging="199"/>
        <w:rPr>
          <w:rFonts w:ascii="標楷體" w:hAnsi="標楷體"/>
          <w:sz w:val="24"/>
        </w:rPr>
      </w:pPr>
      <w:r w:rsidRPr="002C7F7D">
        <w:rPr>
          <w:rFonts w:ascii="標楷體" w:hAnsi="標楷體" w:hint="eastAsia"/>
          <w:sz w:val="24"/>
        </w:rPr>
        <w:t>六、</w:t>
      </w:r>
      <w:r w:rsidRPr="002C7F7D">
        <w:rPr>
          <w:rFonts w:ascii="標楷體" w:hAnsi="標楷體" w:hint="eastAsia"/>
          <w:sz w:val="24"/>
          <w:szCs w:val="24"/>
        </w:rPr>
        <w:t>編送對象：</w:t>
      </w:r>
      <w:r w:rsidR="006C30F9" w:rsidRPr="00665C12">
        <w:rPr>
          <w:rFonts w:ascii="標楷體" w:hAnsi="標楷體" w:hint="eastAsia"/>
          <w:sz w:val="24"/>
          <w:szCs w:val="24"/>
        </w:rPr>
        <w:t>本表應於編製期限內經網際網路上傳至桃園市政府公務統計行政管理系統。</w:t>
      </w:r>
    </w:p>
    <w:p w:rsidR="00D52097" w:rsidRPr="006076A6" w:rsidRDefault="00D52097" w:rsidP="006076A6">
      <w:pPr>
        <w:ind w:left="1120" w:hanging="560"/>
      </w:pPr>
    </w:p>
    <w:sectPr w:rsidR="00D52097" w:rsidRPr="006076A6" w:rsidSect="006076A6">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BA" w:rsidRDefault="00356DBA" w:rsidP="00665C12">
      <w:pPr>
        <w:ind w:left="1120" w:hanging="560"/>
      </w:pPr>
      <w:r>
        <w:separator/>
      </w:r>
    </w:p>
  </w:endnote>
  <w:endnote w:type="continuationSeparator" w:id="0">
    <w:p w:rsidR="00356DBA" w:rsidRDefault="00356DBA" w:rsidP="00665C12">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2" w:rsidRDefault="00665C12">
    <w:pPr>
      <w:pStyle w:val="a6"/>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2" w:rsidRDefault="00665C12">
    <w:pPr>
      <w:pStyle w:val="a6"/>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2" w:rsidRDefault="00665C12">
    <w:pPr>
      <w:pStyle w:val="a6"/>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BA" w:rsidRDefault="00356DBA" w:rsidP="00665C12">
      <w:pPr>
        <w:ind w:left="1120" w:hanging="560"/>
      </w:pPr>
      <w:r>
        <w:separator/>
      </w:r>
    </w:p>
  </w:footnote>
  <w:footnote w:type="continuationSeparator" w:id="0">
    <w:p w:rsidR="00356DBA" w:rsidRDefault="00356DBA" w:rsidP="00665C12">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2" w:rsidRDefault="00665C12">
    <w:pPr>
      <w:pStyle w:val="a4"/>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2" w:rsidRDefault="00665C12">
    <w:pPr>
      <w:pStyle w:val="a4"/>
      <w:ind w:left="96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2" w:rsidRDefault="00665C12">
    <w:pPr>
      <w:pStyle w:val="a4"/>
      <w:ind w:left="96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A38"/>
    <w:multiLevelType w:val="hybridMultilevel"/>
    <w:tmpl w:val="5350A998"/>
    <w:lvl w:ilvl="0" w:tplc="D7768D1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A6"/>
    <w:rsid w:val="002D3FFA"/>
    <w:rsid w:val="002D64FC"/>
    <w:rsid w:val="00356DBA"/>
    <w:rsid w:val="006076A6"/>
    <w:rsid w:val="00665C12"/>
    <w:rsid w:val="006C30F9"/>
    <w:rsid w:val="00CE2CA8"/>
    <w:rsid w:val="00D52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1A5F2-DB82-4E13-B381-1E14CFC4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內文一"/>
    <w:qFormat/>
    <w:rsid w:val="006076A6"/>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6A6"/>
    <w:pPr>
      <w:ind w:left="480" w:firstLineChars="0" w:firstLine="0"/>
    </w:pPr>
    <w:rPr>
      <w:rFonts w:ascii="Calibri" w:eastAsia="新細明體" w:hAnsi="Calibri"/>
      <w:sz w:val="24"/>
      <w:szCs w:val="22"/>
    </w:rPr>
  </w:style>
  <w:style w:type="paragraph" w:styleId="a4">
    <w:name w:val="header"/>
    <w:basedOn w:val="a"/>
    <w:link w:val="a5"/>
    <w:uiPriority w:val="99"/>
    <w:unhideWhenUsed/>
    <w:rsid w:val="00665C12"/>
    <w:pPr>
      <w:tabs>
        <w:tab w:val="center" w:pos="4153"/>
        <w:tab w:val="right" w:pos="8306"/>
      </w:tabs>
      <w:snapToGrid w:val="0"/>
    </w:pPr>
    <w:rPr>
      <w:sz w:val="20"/>
    </w:rPr>
  </w:style>
  <w:style w:type="character" w:customStyle="1" w:styleId="a5">
    <w:name w:val="頁首 字元"/>
    <w:basedOn w:val="a0"/>
    <w:link w:val="a4"/>
    <w:uiPriority w:val="99"/>
    <w:rsid w:val="00665C12"/>
    <w:rPr>
      <w:rFonts w:ascii="Times New Roman" w:eastAsia="標楷體" w:hAnsi="Times New Roman" w:cs="Times New Roman"/>
      <w:sz w:val="20"/>
      <w:szCs w:val="20"/>
    </w:rPr>
  </w:style>
  <w:style w:type="paragraph" w:styleId="a6">
    <w:name w:val="footer"/>
    <w:basedOn w:val="a"/>
    <w:link w:val="a7"/>
    <w:uiPriority w:val="99"/>
    <w:unhideWhenUsed/>
    <w:rsid w:val="00665C12"/>
    <w:pPr>
      <w:tabs>
        <w:tab w:val="center" w:pos="4153"/>
        <w:tab w:val="right" w:pos="8306"/>
      </w:tabs>
      <w:snapToGrid w:val="0"/>
    </w:pPr>
    <w:rPr>
      <w:sz w:val="20"/>
    </w:rPr>
  </w:style>
  <w:style w:type="character" w:customStyle="1" w:styleId="a7">
    <w:name w:val="頁尾 字元"/>
    <w:basedOn w:val="a0"/>
    <w:link w:val="a6"/>
    <w:uiPriority w:val="99"/>
    <w:rsid w:val="00665C12"/>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5</cp:revision>
  <dcterms:created xsi:type="dcterms:W3CDTF">2020-05-15T05:35:00Z</dcterms:created>
  <dcterms:modified xsi:type="dcterms:W3CDTF">2021-10-26T08:19:00Z</dcterms:modified>
</cp:coreProperties>
</file>