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87" w:rsidRPr="00737793" w:rsidRDefault="00602187" w:rsidP="00602187">
      <w:pPr>
        <w:ind w:left="1201" w:hanging="641"/>
        <w:jc w:val="center"/>
        <w:rPr>
          <w:rFonts w:ascii="標楷體" w:hAnsi="標楷體"/>
          <w:b/>
          <w:sz w:val="32"/>
          <w:szCs w:val="32"/>
        </w:rPr>
      </w:pPr>
      <w:r w:rsidRPr="00737793">
        <w:rPr>
          <w:rFonts w:ascii="標楷體" w:hAnsi="標楷體" w:hint="eastAsia"/>
          <w:b/>
          <w:sz w:val="32"/>
          <w:szCs w:val="32"/>
        </w:rPr>
        <w:t>桃園市政府公共債務概況編製說明</w:t>
      </w:r>
    </w:p>
    <w:p w:rsidR="00B001A2" w:rsidRPr="00737793" w:rsidRDefault="00B001A2" w:rsidP="00F0645A">
      <w:pPr>
        <w:numPr>
          <w:ilvl w:val="0"/>
          <w:numId w:val="4"/>
        </w:numPr>
        <w:ind w:leftChars="0" w:left="482" w:firstLineChars="0" w:hanging="482"/>
        <w:rPr>
          <w:sz w:val="24"/>
          <w:szCs w:val="24"/>
        </w:rPr>
      </w:pPr>
      <w:r w:rsidRPr="00737793">
        <w:rPr>
          <w:sz w:val="24"/>
        </w:rPr>
        <w:t>統計範圍及對象：</w:t>
      </w:r>
      <w:r w:rsidR="005D476C" w:rsidRPr="00737793">
        <w:rPr>
          <w:sz w:val="24"/>
        </w:rPr>
        <w:t>配合財</w:t>
      </w:r>
      <w:r w:rsidR="001C27FB" w:rsidRPr="00737793">
        <w:rPr>
          <w:sz w:val="24"/>
        </w:rPr>
        <w:t>政</w:t>
      </w:r>
      <w:bookmarkStart w:id="0" w:name="_GoBack"/>
      <w:bookmarkEnd w:id="0"/>
      <w:r w:rsidR="005D476C" w:rsidRPr="00737793">
        <w:rPr>
          <w:sz w:val="24"/>
        </w:rPr>
        <w:t>部訂頒之「地方政府公共債務揭露注意事項」規定，本市公共債務應揭露事項均為</w:t>
      </w:r>
      <w:r w:rsidRPr="00737793">
        <w:rPr>
          <w:sz w:val="24"/>
        </w:rPr>
        <w:t>統計對象</w:t>
      </w:r>
      <w:r w:rsidRPr="00737793">
        <w:rPr>
          <w:sz w:val="24"/>
          <w:szCs w:val="24"/>
        </w:rPr>
        <w:t>。</w:t>
      </w:r>
    </w:p>
    <w:p w:rsidR="00B001A2" w:rsidRPr="00737793" w:rsidRDefault="00B001A2" w:rsidP="00F0645A">
      <w:pPr>
        <w:numPr>
          <w:ilvl w:val="0"/>
          <w:numId w:val="4"/>
        </w:numPr>
        <w:ind w:leftChars="0" w:left="482" w:firstLineChars="0" w:hanging="482"/>
        <w:rPr>
          <w:sz w:val="24"/>
        </w:rPr>
      </w:pPr>
      <w:r w:rsidRPr="00737793">
        <w:rPr>
          <w:sz w:val="24"/>
        </w:rPr>
        <w:t>統計標準時間：以</w:t>
      </w:r>
      <w:r w:rsidR="00E91504" w:rsidRPr="00737793">
        <w:rPr>
          <w:rFonts w:hint="eastAsia"/>
          <w:sz w:val="24"/>
        </w:rPr>
        <w:t>各月</w:t>
      </w:r>
      <w:r w:rsidR="00E018A4" w:rsidRPr="00737793">
        <w:rPr>
          <w:rFonts w:hint="eastAsia"/>
          <w:sz w:val="24"/>
        </w:rPr>
        <w:t>底</w:t>
      </w:r>
      <w:r w:rsidRPr="00737793">
        <w:rPr>
          <w:sz w:val="24"/>
        </w:rPr>
        <w:t>之事實為準。</w:t>
      </w:r>
    </w:p>
    <w:p w:rsidR="00B001A2" w:rsidRPr="00737793" w:rsidRDefault="00B001A2" w:rsidP="00F0645A">
      <w:pPr>
        <w:numPr>
          <w:ilvl w:val="0"/>
          <w:numId w:val="4"/>
        </w:numPr>
        <w:ind w:leftChars="0" w:left="482" w:firstLineChars="0" w:hanging="482"/>
        <w:rPr>
          <w:sz w:val="24"/>
        </w:rPr>
      </w:pPr>
      <w:r w:rsidRPr="00737793">
        <w:rPr>
          <w:sz w:val="24"/>
        </w:rPr>
        <w:t>分類標準：依債務未償實際數、</w:t>
      </w:r>
      <w:r w:rsidR="00183CBF" w:rsidRPr="00737793">
        <w:rPr>
          <w:rFonts w:hint="eastAsia"/>
          <w:sz w:val="24"/>
        </w:rPr>
        <w:t>長期</w:t>
      </w:r>
      <w:r w:rsidRPr="00737793">
        <w:rPr>
          <w:sz w:val="24"/>
        </w:rPr>
        <w:t>債務未償餘額、短期債務未償餘額、平均每人負擔債務及自償性債務未償餘額</w:t>
      </w:r>
      <w:r w:rsidRPr="00737793">
        <w:rPr>
          <w:sz w:val="24"/>
        </w:rPr>
        <w:t>(</w:t>
      </w:r>
      <w:r w:rsidRPr="00737793">
        <w:rPr>
          <w:sz w:val="24"/>
        </w:rPr>
        <w:t>含</w:t>
      </w:r>
    </w:p>
    <w:p w:rsidR="00B001A2" w:rsidRPr="00737793" w:rsidRDefault="00B001A2" w:rsidP="00F0645A">
      <w:pPr>
        <w:ind w:leftChars="0" w:left="1644" w:firstLineChars="0" w:firstLine="0"/>
        <w:rPr>
          <w:sz w:val="24"/>
        </w:rPr>
      </w:pPr>
      <w:r w:rsidRPr="00737793">
        <w:rPr>
          <w:sz w:val="24"/>
        </w:rPr>
        <w:t>非營業特種基金</w:t>
      </w:r>
      <w:r w:rsidRPr="00737793">
        <w:rPr>
          <w:sz w:val="24"/>
        </w:rPr>
        <w:t>)</w:t>
      </w:r>
      <w:r w:rsidRPr="00737793">
        <w:rPr>
          <w:sz w:val="24"/>
        </w:rPr>
        <w:t>分類。</w:t>
      </w:r>
    </w:p>
    <w:p w:rsidR="00B001A2" w:rsidRPr="00737793" w:rsidRDefault="00B001A2" w:rsidP="00F0645A">
      <w:pPr>
        <w:numPr>
          <w:ilvl w:val="0"/>
          <w:numId w:val="4"/>
        </w:numPr>
        <w:ind w:leftChars="0" w:left="482" w:firstLineChars="0" w:hanging="482"/>
        <w:rPr>
          <w:sz w:val="24"/>
        </w:rPr>
      </w:pPr>
      <w:r w:rsidRPr="00737793">
        <w:rPr>
          <w:sz w:val="24"/>
        </w:rPr>
        <w:t>統計項目定義：</w:t>
      </w:r>
    </w:p>
    <w:p w:rsidR="00B001A2" w:rsidRPr="00737793" w:rsidRDefault="00617B97" w:rsidP="00617B97">
      <w:pPr>
        <w:ind w:leftChars="0" w:firstLineChars="0"/>
        <w:rPr>
          <w:sz w:val="24"/>
          <w:szCs w:val="24"/>
        </w:rPr>
      </w:pPr>
      <w:r w:rsidRPr="00737793">
        <w:rPr>
          <w:rFonts w:hint="eastAsia"/>
          <w:sz w:val="24"/>
        </w:rPr>
        <w:t xml:space="preserve"> </w:t>
      </w:r>
      <w:r w:rsidR="00607ECE" w:rsidRPr="00737793">
        <w:rPr>
          <w:sz w:val="24"/>
        </w:rPr>
        <w:t>(</w:t>
      </w:r>
      <w:r w:rsidR="00607ECE" w:rsidRPr="00737793">
        <w:rPr>
          <w:sz w:val="24"/>
        </w:rPr>
        <w:t>一</w:t>
      </w:r>
      <w:r w:rsidR="00607ECE" w:rsidRPr="00737793">
        <w:rPr>
          <w:sz w:val="24"/>
        </w:rPr>
        <w:t>)</w:t>
      </w:r>
      <w:r w:rsidR="00B001A2" w:rsidRPr="00737793">
        <w:rPr>
          <w:sz w:val="24"/>
          <w:szCs w:val="24"/>
        </w:rPr>
        <w:t>債務未償實際數：</w:t>
      </w:r>
      <w:r w:rsidR="005D476C" w:rsidRPr="00737793">
        <w:rPr>
          <w:sz w:val="24"/>
          <w:szCs w:val="24"/>
        </w:rPr>
        <w:t>本府實際舉借長短期尚未</w:t>
      </w:r>
      <w:r w:rsidR="00B001A2" w:rsidRPr="00737793">
        <w:rPr>
          <w:sz w:val="24"/>
          <w:szCs w:val="24"/>
        </w:rPr>
        <w:t>償</w:t>
      </w:r>
      <w:r w:rsidR="005D476C" w:rsidRPr="00737793">
        <w:rPr>
          <w:sz w:val="24"/>
          <w:szCs w:val="24"/>
        </w:rPr>
        <w:t>還之債務，但不包括自償性債務。</w:t>
      </w:r>
    </w:p>
    <w:p w:rsidR="00B001A2" w:rsidRPr="00737793" w:rsidRDefault="00617B97" w:rsidP="00617B97">
      <w:pPr>
        <w:ind w:leftChars="0" w:firstLineChars="0"/>
        <w:rPr>
          <w:sz w:val="24"/>
          <w:szCs w:val="24"/>
        </w:rPr>
      </w:pPr>
      <w:r w:rsidRPr="00737793">
        <w:rPr>
          <w:rFonts w:hint="eastAsia"/>
          <w:sz w:val="24"/>
        </w:rPr>
        <w:t xml:space="preserve"> </w:t>
      </w:r>
      <w:r w:rsidR="00607ECE" w:rsidRPr="00737793">
        <w:rPr>
          <w:sz w:val="24"/>
        </w:rPr>
        <w:t>(</w:t>
      </w:r>
      <w:r w:rsidR="00607ECE" w:rsidRPr="00737793">
        <w:rPr>
          <w:sz w:val="24"/>
        </w:rPr>
        <w:t>二</w:t>
      </w:r>
      <w:r w:rsidR="00607ECE" w:rsidRPr="00737793">
        <w:rPr>
          <w:sz w:val="24"/>
        </w:rPr>
        <w:t>)</w:t>
      </w:r>
      <w:r w:rsidR="00EF1685" w:rsidRPr="00737793">
        <w:rPr>
          <w:rFonts w:hint="eastAsia"/>
          <w:sz w:val="24"/>
        </w:rPr>
        <w:t>長期</w:t>
      </w:r>
      <w:r w:rsidR="00B001A2" w:rsidRPr="00737793">
        <w:rPr>
          <w:sz w:val="24"/>
          <w:szCs w:val="24"/>
        </w:rPr>
        <w:t>債務未償餘額：</w:t>
      </w:r>
      <w:r w:rsidR="005D476C" w:rsidRPr="00737793">
        <w:rPr>
          <w:sz w:val="24"/>
          <w:szCs w:val="24"/>
        </w:rPr>
        <w:t>本府實際</w:t>
      </w:r>
      <w:r w:rsidR="00B001A2" w:rsidRPr="00737793">
        <w:rPr>
          <w:sz w:val="24"/>
          <w:szCs w:val="24"/>
        </w:rPr>
        <w:t>舉借</w:t>
      </w:r>
      <w:r w:rsidR="00B001A2" w:rsidRPr="00737793">
        <w:rPr>
          <w:sz w:val="24"/>
          <w:szCs w:val="24"/>
        </w:rPr>
        <w:t>1</w:t>
      </w:r>
      <w:r w:rsidR="00B001A2" w:rsidRPr="00737793">
        <w:rPr>
          <w:sz w:val="24"/>
          <w:szCs w:val="24"/>
        </w:rPr>
        <w:t>年以上</w:t>
      </w:r>
      <w:r w:rsidR="005D476C" w:rsidRPr="00737793">
        <w:rPr>
          <w:sz w:val="24"/>
          <w:szCs w:val="24"/>
        </w:rPr>
        <w:t>尚未償還之債務</w:t>
      </w:r>
      <w:r w:rsidR="001C251E" w:rsidRPr="00737793">
        <w:rPr>
          <w:sz w:val="24"/>
          <w:szCs w:val="24"/>
        </w:rPr>
        <w:t>，但不包括自償性債務</w:t>
      </w:r>
      <w:r w:rsidR="00B001A2" w:rsidRPr="00737793">
        <w:rPr>
          <w:sz w:val="24"/>
          <w:szCs w:val="24"/>
        </w:rPr>
        <w:t>。</w:t>
      </w:r>
    </w:p>
    <w:p w:rsidR="00B001A2" w:rsidRPr="00737793" w:rsidRDefault="00617B97" w:rsidP="00617B97">
      <w:pPr>
        <w:ind w:leftChars="0" w:firstLineChars="0"/>
        <w:rPr>
          <w:sz w:val="24"/>
          <w:szCs w:val="24"/>
        </w:rPr>
      </w:pPr>
      <w:r w:rsidRPr="00737793">
        <w:rPr>
          <w:rFonts w:hint="eastAsia"/>
          <w:sz w:val="24"/>
        </w:rPr>
        <w:t xml:space="preserve"> </w:t>
      </w:r>
      <w:r w:rsidR="00607ECE" w:rsidRPr="00737793">
        <w:rPr>
          <w:sz w:val="24"/>
        </w:rPr>
        <w:t>(</w:t>
      </w:r>
      <w:r w:rsidR="00607ECE" w:rsidRPr="00737793">
        <w:rPr>
          <w:sz w:val="24"/>
        </w:rPr>
        <w:t>三</w:t>
      </w:r>
      <w:r w:rsidR="00607ECE" w:rsidRPr="00737793">
        <w:rPr>
          <w:sz w:val="24"/>
        </w:rPr>
        <w:t>)</w:t>
      </w:r>
      <w:r w:rsidR="00B001A2" w:rsidRPr="00737793">
        <w:rPr>
          <w:sz w:val="24"/>
          <w:szCs w:val="24"/>
        </w:rPr>
        <w:t>短期債務未償餘額：</w:t>
      </w:r>
      <w:r w:rsidR="005D476C" w:rsidRPr="00737793">
        <w:rPr>
          <w:sz w:val="24"/>
          <w:szCs w:val="24"/>
        </w:rPr>
        <w:t>本府實際舉借未滿</w:t>
      </w:r>
      <w:r w:rsidR="005D476C" w:rsidRPr="00737793">
        <w:rPr>
          <w:sz w:val="24"/>
          <w:szCs w:val="24"/>
        </w:rPr>
        <w:t>1</w:t>
      </w:r>
      <w:r w:rsidR="005D476C" w:rsidRPr="00737793">
        <w:rPr>
          <w:sz w:val="24"/>
          <w:szCs w:val="24"/>
        </w:rPr>
        <w:t>年尚未償還之債務</w:t>
      </w:r>
      <w:r w:rsidR="001C251E" w:rsidRPr="00737793">
        <w:rPr>
          <w:sz w:val="24"/>
          <w:szCs w:val="24"/>
        </w:rPr>
        <w:t>，但不包括自償性債務</w:t>
      </w:r>
      <w:r w:rsidR="005D476C" w:rsidRPr="00737793">
        <w:rPr>
          <w:sz w:val="24"/>
          <w:szCs w:val="24"/>
        </w:rPr>
        <w:t>。</w:t>
      </w:r>
    </w:p>
    <w:p w:rsidR="00B001A2" w:rsidRPr="00737793" w:rsidRDefault="00617B97" w:rsidP="00617B97">
      <w:pPr>
        <w:ind w:leftChars="0" w:firstLineChars="0"/>
        <w:rPr>
          <w:sz w:val="24"/>
          <w:szCs w:val="24"/>
        </w:rPr>
      </w:pPr>
      <w:r w:rsidRPr="00737793">
        <w:rPr>
          <w:rFonts w:hint="eastAsia"/>
          <w:sz w:val="24"/>
        </w:rPr>
        <w:t xml:space="preserve"> </w:t>
      </w:r>
      <w:r w:rsidR="00607ECE" w:rsidRPr="00737793">
        <w:rPr>
          <w:sz w:val="24"/>
        </w:rPr>
        <w:t>(</w:t>
      </w:r>
      <w:r w:rsidR="00607ECE" w:rsidRPr="00737793">
        <w:rPr>
          <w:sz w:val="24"/>
        </w:rPr>
        <w:t>四</w:t>
      </w:r>
      <w:r w:rsidR="00607ECE" w:rsidRPr="00737793">
        <w:rPr>
          <w:sz w:val="24"/>
        </w:rPr>
        <w:t>)</w:t>
      </w:r>
      <w:r w:rsidR="00B001A2" w:rsidRPr="00737793">
        <w:rPr>
          <w:sz w:val="24"/>
          <w:szCs w:val="24"/>
        </w:rPr>
        <w:t>平均每人負擔債務：</w:t>
      </w:r>
      <w:r w:rsidR="001C251E" w:rsidRPr="00737793">
        <w:rPr>
          <w:sz w:val="24"/>
          <w:szCs w:val="24"/>
        </w:rPr>
        <w:t>債務未償實際數</w:t>
      </w:r>
      <w:r w:rsidR="001C251E" w:rsidRPr="00737793">
        <w:rPr>
          <w:sz w:val="24"/>
          <w:szCs w:val="24"/>
        </w:rPr>
        <w:t>/</w:t>
      </w:r>
      <w:r w:rsidR="001C251E" w:rsidRPr="00737793">
        <w:rPr>
          <w:sz w:val="24"/>
          <w:szCs w:val="24"/>
        </w:rPr>
        <w:t>上月</w:t>
      </w:r>
      <w:r w:rsidR="00F26A5C" w:rsidRPr="00737793">
        <w:rPr>
          <w:rFonts w:hint="eastAsia"/>
          <w:sz w:val="24"/>
          <w:szCs w:val="24"/>
        </w:rPr>
        <w:t>底</w:t>
      </w:r>
      <w:r w:rsidR="001C251E" w:rsidRPr="00737793">
        <w:rPr>
          <w:sz w:val="24"/>
          <w:szCs w:val="24"/>
        </w:rPr>
        <w:t>本市轄區內現住人口數。</w:t>
      </w:r>
    </w:p>
    <w:p w:rsidR="00B001A2" w:rsidRPr="00737793" w:rsidRDefault="00617B97" w:rsidP="00617B97">
      <w:pPr>
        <w:ind w:leftChars="0" w:firstLineChars="0"/>
        <w:rPr>
          <w:sz w:val="24"/>
        </w:rPr>
      </w:pPr>
      <w:r w:rsidRPr="00737793">
        <w:rPr>
          <w:rFonts w:hint="eastAsia"/>
          <w:sz w:val="24"/>
        </w:rPr>
        <w:t xml:space="preserve"> </w:t>
      </w:r>
      <w:r w:rsidR="00607ECE" w:rsidRPr="00737793">
        <w:rPr>
          <w:sz w:val="24"/>
        </w:rPr>
        <w:t>(</w:t>
      </w:r>
      <w:r w:rsidR="00607ECE" w:rsidRPr="00737793">
        <w:rPr>
          <w:sz w:val="24"/>
        </w:rPr>
        <w:t>五</w:t>
      </w:r>
      <w:r w:rsidR="00607ECE" w:rsidRPr="00737793">
        <w:rPr>
          <w:sz w:val="24"/>
        </w:rPr>
        <w:t>)</w:t>
      </w:r>
      <w:r w:rsidR="00B001A2" w:rsidRPr="00737793">
        <w:rPr>
          <w:sz w:val="24"/>
          <w:szCs w:val="24"/>
        </w:rPr>
        <w:t>自償性債務</w:t>
      </w:r>
      <w:r w:rsidR="001C27FB" w:rsidRPr="00737793">
        <w:rPr>
          <w:sz w:val="24"/>
          <w:szCs w:val="24"/>
        </w:rPr>
        <w:t>未償餘額</w:t>
      </w:r>
      <w:r w:rsidR="00B001A2" w:rsidRPr="00737793">
        <w:rPr>
          <w:sz w:val="24"/>
          <w:szCs w:val="24"/>
        </w:rPr>
        <w:t>(</w:t>
      </w:r>
      <w:r w:rsidR="00B001A2" w:rsidRPr="00737793">
        <w:rPr>
          <w:sz w:val="24"/>
          <w:szCs w:val="24"/>
        </w:rPr>
        <w:t>含非營業特種基金</w:t>
      </w:r>
      <w:r w:rsidR="00B001A2" w:rsidRPr="00737793">
        <w:rPr>
          <w:sz w:val="24"/>
          <w:szCs w:val="24"/>
        </w:rPr>
        <w:t>)</w:t>
      </w:r>
      <w:r w:rsidR="00B001A2" w:rsidRPr="00737793">
        <w:rPr>
          <w:sz w:val="24"/>
          <w:szCs w:val="24"/>
        </w:rPr>
        <w:t>：</w:t>
      </w:r>
      <w:r w:rsidR="00840A3B" w:rsidRPr="00737793">
        <w:rPr>
          <w:sz w:val="24"/>
          <w:szCs w:val="24"/>
        </w:rPr>
        <w:t>本府舉借自償性債務尚未償還金額</w:t>
      </w:r>
      <w:r w:rsidR="00B001A2" w:rsidRPr="00737793">
        <w:rPr>
          <w:sz w:val="24"/>
          <w:szCs w:val="24"/>
        </w:rPr>
        <w:t>。</w:t>
      </w:r>
    </w:p>
    <w:p w:rsidR="00B001A2" w:rsidRPr="00737793" w:rsidRDefault="00B001A2" w:rsidP="00D076B6">
      <w:pPr>
        <w:pStyle w:val="a3"/>
        <w:numPr>
          <w:ilvl w:val="0"/>
          <w:numId w:val="4"/>
        </w:numPr>
        <w:ind w:leftChars="0" w:left="490" w:hangingChars="204" w:hanging="490"/>
        <w:rPr>
          <w:sz w:val="24"/>
          <w:szCs w:val="24"/>
        </w:rPr>
      </w:pPr>
      <w:r w:rsidRPr="00737793">
        <w:rPr>
          <w:sz w:val="24"/>
        </w:rPr>
        <w:t>資料蒐集方法及編</w:t>
      </w:r>
      <w:r w:rsidR="00391A5E" w:rsidRPr="00737793">
        <w:rPr>
          <w:sz w:val="24"/>
        </w:rPr>
        <w:t>製</w:t>
      </w:r>
      <w:r w:rsidRPr="00737793">
        <w:rPr>
          <w:sz w:val="24"/>
        </w:rPr>
        <w:t>程序：</w:t>
      </w:r>
      <w:r w:rsidR="00840A3B" w:rsidRPr="00737793">
        <w:rPr>
          <w:sz w:val="24"/>
        </w:rPr>
        <w:t>依月底本市未償債務餘額及內政部統計處「內政統計月報」公布之上月</w:t>
      </w:r>
      <w:r w:rsidR="000F4270" w:rsidRPr="00737793">
        <w:rPr>
          <w:rFonts w:hint="eastAsia"/>
          <w:sz w:val="24"/>
        </w:rPr>
        <w:t>底</w:t>
      </w:r>
      <w:r w:rsidR="00840A3B" w:rsidRPr="00737793">
        <w:rPr>
          <w:sz w:val="24"/>
        </w:rPr>
        <w:t>本市轄區內現住人口</w:t>
      </w:r>
      <w:r w:rsidR="00D076B6" w:rsidRPr="00737793">
        <w:rPr>
          <w:rFonts w:hint="eastAsia"/>
          <w:sz w:val="24"/>
        </w:rPr>
        <w:br/>
        <w:t xml:space="preserve">                        </w:t>
      </w:r>
      <w:r w:rsidR="00840A3B" w:rsidRPr="00737793">
        <w:rPr>
          <w:sz w:val="24"/>
        </w:rPr>
        <w:t>數為</w:t>
      </w:r>
      <w:r w:rsidR="00840A3B" w:rsidRPr="00737793">
        <w:rPr>
          <w:sz w:val="24"/>
          <w:szCs w:val="24"/>
        </w:rPr>
        <w:t>統</w:t>
      </w:r>
      <w:r w:rsidR="001D1F12" w:rsidRPr="00737793">
        <w:rPr>
          <w:rFonts w:hint="eastAsia"/>
          <w:sz w:val="24"/>
          <w:szCs w:val="24"/>
        </w:rPr>
        <w:t>計</w:t>
      </w:r>
      <w:r w:rsidR="00840A3B" w:rsidRPr="00737793">
        <w:rPr>
          <w:sz w:val="24"/>
          <w:szCs w:val="24"/>
        </w:rPr>
        <w:t>基礎，由</w:t>
      </w:r>
      <w:r w:rsidR="00840A3B" w:rsidRPr="00136D0E">
        <w:rPr>
          <w:sz w:val="24"/>
          <w:szCs w:val="24"/>
        </w:rPr>
        <w:t>本局財</w:t>
      </w:r>
      <w:r w:rsidR="00840A3B" w:rsidRPr="00737793">
        <w:rPr>
          <w:sz w:val="24"/>
          <w:szCs w:val="24"/>
        </w:rPr>
        <w:t>務管理科編製</w:t>
      </w:r>
      <w:r w:rsidRPr="00737793">
        <w:rPr>
          <w:sz w:val="24"/>
          <w:szCs w:val="24"/>
        </w:rPr>
        <w:t>。</w:t>
      </w:r>
    </w:p>
    <w:p w:rsidR="00B001A2" w:rsidRPr="00ED0DE9" w:rsidRDefault="00B001A2" w:rsidP="00F0645A">
      <w:pPr>
        <w:numPr>
          <w:ilvl w:val="0"/>
          <w:numId w:val="4"/>
        </w:numPr>
        <w:ind w:leftChars="0" w:left="482" w:firstLineChars="0" w:hanging="482"/>
        <w:rPr>
          <w:sz w:val="24"/>
        </w:rPr>
      </w:pPr>
      <w:r w:rsidRPr="00ED0DE9">
        <w:rPr>
          <w:sz w:val="24"/>
        </w:rPr>
        <w:t>編送對象：</w:t>
      </w:r>
      <w:r w:rsidR="00787440" w:rsidRPr="00ED0DE9">
        <w:rPr>
          <w:rFonts w:hint="eastAsia"/>
          <w:sz w:val="24"/>
        </w:rPr>
        <w:t>本表應於編製期限內經網際網路上傳至桃園市政府公務統計行政管理系統。</w:t>
      </w:r>
    </w:p>
    <w:p w:rsidR="00F0645A" w:rsidRPr="00737793" w:rsidRDefault="00F0645A" w:rsidP="00602187">
      <w:pPr>
        <w:ind w:leftChars="0" w:left="560" w:firstLineChars="0" w:firstLine="0"/>
        <w:rPr>
          <w:sz w:val="24"/>
          <w:szCs w:val="24"/>
        </w:rPr>
      </w:pPr>
    </w:p>
    <w:p w:rsidR="00F0645A" w:rsidRPr="00737793" w:rsidRDefault="00F0645A" w:rsidP="00F0645A">
      <w:pPr>
        <w:ind w:left="1040" w:hanging="480"/>
        <w:rPr>
          <w:sz w:val="24"/>
          <w:szCs w:val="24"/>
        </w:rPr>
      </w:pPr>
    </w:p>
    <w:p w:rsidR="00A84E18" w:rsidRPr="00737793" w:rsidRDefault="00A84E18" w:rsidP="00F0645A">
      <w:pPr>
        <w:tabs>
          <w:tab w:val="left" w:pos="2500"/>
        </w:tabs>
        <w:ind w:left="1040" w:hanging="480"/>
        <w:rPr>
          <w:sz w:val="24"/>
          <w:szCs w:val="24"/>
        </w:rPr>
      </w:pPr>
    </w:p>
    <w:sectPr w:rsidR="00A84E18" w:rsidRPr="00737793" w:rsidSect="00D076B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EEF" w:rsidRDefault="002A3EEF" w:rsidP="00602187">
      <w:pPr>
        <w:ind w:left="1120" w:hanging="560"/>
      </w:pPr>
      <w:r>
        <w:separator/>
      </w:r>
    </w:p>
  </w:endnote>
  <w:endnote w:type="continuationSeparator" w:id="0">
    <w:p w:rsidR="002A3EEF" w:rsidRDefault="002A3EEF" w:rsidP="00602187">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6"/>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6"/>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6"/>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EEF" w:rsidRDefault="002A3EEF" w:rsidP="00602187">
      <w:pPr>
        <w:ind w:left="1120" w:hanging="560"/>
      </w:pPr>
      <w:r>
        <w:separator/>
      </w:r>
    </w:p>
  </w:footnote>
  <w:footnote w:type="continuationSeparator" w:id="0">
    <w:p w:rsidR="002A3EEF" w:rsidRDefault="002A3EEF" w:rsidP="00602187">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4"/>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4"/>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87" w:rsidRDefault="00602187" w:rsidP="00602187">
    <w:pPr>
      <w:pStyle w:val="a4"/>
      <w:ind w:left="96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672"/>
    <w:multiLevelType w:val="hybridMultilevel"/>
    <w:tmpl w:val="E6F630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B00EF"/>
    <w:multiLevelType w:val="hybridMultilevel"/>
    <w:tmpl w:val="5C96749C"/>
    <w:lvl w:ilvl="0" w:tplc="F58E0CC8">
      <w:start w:val="1"/>
      <w:numFmt w:val="taiwaneseCountingThousand"/>
      <w:lvlText w:val="%1、"/>
      <w:lvlJc w:val="left"/>
      <w:pPr>
        <w:ind w:left="1048" w:hanging="480"/>
      </w:pPr>
      <w:rPr>
        <w:rFonts w:hint="default"/>
        <w:lang w:val="en-US"/>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C26113A"/>
    <w:multiLevelType w:val="hybridMultilevel"/>
    <w:tmpl w:val="3754127C"/>
    <w:lvl w:ilvl="0" w:tplc="9240143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37086A2D"/>
    <w:multiLevelType w:val="hybridMultilevel"/>
    <w:tmpl w:val="26EEBFE8"/>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56D14AFB"/>
    <w:multiLevelType w:val="hybridMultilevel"/>
    <w:tmpl w:val="9FA625E6"/>
    <w:lvl w:ilvl="0" w:tplc="0409000F">
      <w:start w:val="1"/>
      <w:numFmt w:val="decimal"/>
      <w:lvlText w:val="%1."/>
      <w:lvlJc w:val="left"/>
      <w:pPr>
        <w:ind w:left="558" w:hanging="480"/>
      </w:p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5" w15:restartNumberingAfterBreak="0">
    <w:nsid w:val="5C1E3ACF"/>
    <w:multiLevelType w:val="hybridMultilevel"/>
    <w:tmpl w:val="9912B7DA"/>
    <w:lvl w:ilvl="0" w:tplc="B12A1FE0">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59"/>
    <w:rsid w:val="000334CD"/>
    <w:rsid w:val="000E41BD"/>
    <w:rsid w:val="000F4270"/>
    <w:rsid w:val="00136D0E"/>
    <w:rsid w:val="00183CBF"/>
    <w:rsid w:val="001A33C7"/>
    <w:rsid w:val="001C251E"/>
    <w:rsid w:val="001C27FB"/>
    <w:rsid w:val="001D1F12"/>
    <w:rsid w:val="00231CD0"/>
    <w:rsid w:val="00270332"/>
    <w:rsid w:val="002855EF"/>
    <w:rsid w:val="002A3EEF"/>
    <w:rsid w:val="002B5938"/>
    <w:rsid w:val="003429E2"/>
    <w:rsid w:val="00380610"/>
    <w:rsid w:val="00391A5E"/>
    <w:rsid w:val="003C7550"/>
    <w:rsid w:val="00417319"/>
    <w:rsid w:val="00465B5F"/>
    <w:rsid w:val="005D476C"/>
    <w:rsid w:val="00602187"/>
    <w:rsid w:val="00604D60"/>
    <w:rsid w:val="00607ECE"/>
    <w:rsid w:val="00617B97"/>
    <w:rsid w:val="00622C8F"/>
    <w:rsid w:val="00737793"/>
    <w:rsid w:val="007579BC"/>
    <w:rsid w:val="00764C47"/>
    <w:rsid w:val="00787440"/>
    <w:rsid w:val="007E080C"/>
    <w:rsid w:val="007E68F1"/>
    <w:rsid w:val="00840A3B"/>
    <w:rsid w:val="00881C0F"/>
    <w:rsid w:val="008A7D9D"/>
    <w:rsid w:val="008E62BF"/>
    <w:rsid w:val="008F46EA"/>
    <w:rsid w:val="00993859"/>
    <w:rsid w:val="00A84E18"/>
    <w:rsid w:val="00AC7B5F"/>
    <w:rsid w:val="00B001A2"/>
    <w:rsid w:val="00BA02BC"/>
    <w:rsid w:val="00BB09F8"/>
    <w:rsid w:val="00BB1E3D"/>
    <w:rsid w:val="00BC5B1E"/>
    <w:rsid w:val="00BD5DEB"/>
    <w:rsid w:val="00BF7D65"/>
    <w:rsid w:val="00C177AC"/>
    <w:rsid w:val="00C21767"/>
    <w:rsid w:val="00C40C2F"/>
    <w:rsid w:val="00C55880"/>
    <w:rsid w:val="00C760B2"/>
    <w:rsid w:val="00CF2477"/>
    <w:rsid w:val="00D051BA"/>
    <w:rsid w:val="00D076B6"/>
    <w:rsid w:val="00D31923"/>
    <w:rsid w:val="00D37B42"/>
    <w:rsid w:val="00D52097"/>
    <w:rsid w:val="00D966BB"/>
    <w:rsid w:val="00DD1D8E"/>
    <w:rsid w:val="00DF0759"/>
    <w:rsid w:val="00E018A4"/>
    <w:rsid w:val="00E27059"/>
    <w:rsid w:val="00E67A4A"/>
    <w:rsid w:val="00E90294"/>
    <w:rsid w:val="00E91504"/>
    <w:rsid w:val="00ED0DE9"/>
    <w:rsid w:val="00EF1685"/>
    <w:rsid w:val="00F0645A"/>
    <w:rsid w:val="00F15562"/>
    <w:rsid w:val="00F26A5C"/>
    <w:rsid w:val="00F93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2DB7"/>
  <w15:docId w15:val="{5AACDD6F-BB33-435D-B082-F9B1592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E27059"/>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4CD"/>
    <w:pPr>
      <w:ind w:left="480"/>
    </w:pPr>
  </w:style>
  <w:style w:type="paragraph" w:styleId="a4">
    <w:name w:val="header"/>
    <w:basedOn w:val="a"/>
    <w:link w:val="a5"/>
    <w:uiPriority w:val="99"/>
    <w:unhideWhenUsed/>
    <w:rsid w:val="00602187"/>
    <w:pPr>
      <w:tabs>
        <w:tab w:val="center" w:pos="4153"/>
        <w:tab w:val="right" w:pos="8306"/>
      </w:tabs>
      <w:snapToGrid w:val="0"/>
    </w:pPr>
    <w:rPr>
      <w:sz w:val="20"/>
    </w:rPr>
  </w:style>
  <w:style w:type="character" w:customStyle="1" w:styleId="a5">
    <w:name w:val="頁首 字元"/>
    <w:basedOn w:val="a0"/>
    <w:link w:val="a4"/>
    <w:uiPriority w:val="99"/>
    <w:rsid w:val="00602187"/>
    <w:rPr>
      <w:rFonts w:ascii="Times New Roman" w:eastAsia="標楷體" w:hAnsi="Times New Roman" w:cs="Times New Roman"/>
      <w:sz w:val="20"/>
      <w:szCs w:val="20"/>
    </w:rPr>
  </w:style>
  <w:style w:type="paragraph" w:styleId="a6">
    <w:name w:val="footer"/>
    <w:basedOn w:val="a"/>
    <w:link w:val="a7"/>
    <w:uiPriority w:val="99"/>
    <w:unhideWhenUsed/>
    <w:rsid w:val="00602187"/>
    <w:pPr>
      <w:tabs>
        <w:tab w:val="center" w:pos="4153"/>
        <w:tab w:val="right" w:pos="8306"/>
      </w:tabs>
      <w:snapToGrid w:val="0"/>
    </w:pPr>
    <w:rPr>
      <w:sz w:val="20"/>
    </w:rPr>
  </w:style>
  <w:style w:type="character" w:customStyle="1" w:styleId="a7">
    <w:name w:val="頁尾 字元"/>
    <w:basedOn w:val="a0"/>
    <w:link w:val="a6"/>
    <w:uiPriority w:val="99"/>
    <w:rsid w:val="00602187"/>
    <w:rPr>
      <w:rFonts w:ascii="Times New Roman" w:eastAsia="標楷體" w:hAnsi="Times New Roman" w:cs="Times New Roman"/>
      <w:sz w:val="20"/>
      <w:szCs w:val="20"/>
    </w:rPr>
  </w:style>
  <w:style w:type="paragraph" w:styleId="a8">
    <w:name w:val="Balloon Text"/>
    <w:basedOn w:val="a"/>
    <w:link w:val="a9"/>
    <w:uiPriority w:val="99"/>
    <w:semiHidden/>
    <w:unhideWhenUsed/>
    <w:rsid w:val="00F1556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5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8</cp:revision>
  <cp:lastPrinted>2019-10-05T00:57:00Z</cp:lastPrinted>
  <dcterms:created xsi:type="dcterms:W3CDTF">2020-05-14T01:28:00Z</dcterms:created>
  <dcterms:modified xsi:type="dcterms:W3CDTF">2021-10-19T01:57:00Z</dcterms:modified>
</cp:coreProperties>
</file>