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183" w:rsidRPr="0039533B" w:rsidRDefault="00FF4183" w:rsidP="00FF4183">
      <w:pPr>
        <w:ind w:leftChars="0" w:left="756" w:firstLineChars="0" w:hanging="518"/>
        <w:jc w:val="center"/>
        <w:rPr>
          <w:b/>
          <w:spacing w:val="10"/>
          <w:sz w:val="32"/>
        </w:rPr>
      </w:pPr>
      <w:r w:rsidRPr="0039533B">
        <w:rPr>
          <w:b/>
          <w:spacing w:val="10"/>
          <w:sz w:val="32"/>
        </w:rPr>
        <w:t>桃園市</w:t>
      </w:r>
      <w:r w:rsidR="000A2578" w:rsidRPr="0039533B">
        <w:rPr>
          <w:rFonts w:hint="eastAsia"/>
          <w:b/>
          <w:sz w:val="32"/>
          <w:szCs w:val="32"/>
        </w:rPr>
        <w:t>政府各機關年度預算支用情形</w:t>
      </w:r>
      <w:r w:rsidR="004D4097" w:rsidRPr="0039533B">
        <w:rPr>
          <w:rFonts w:ascii="標楷體" w:hAnsi="標楷體" w:hint="eastAsia"/>
          <w:b/>
          <w:sz w:val="32"/>
          <w:szCs w:val="32"/>
        </w:rPr>
        <w:t>－</w:t>
      </w:r>
      <w:r w:rsidR="000A2578" w:rsidRPr="0039533B">
        <w:rPr>
          <w:rFonts w:hint="eastAsia"/>
          <w:b/>
          <w:sz w:val="32"/>
          <w:szCs w:val="32"/>
        </w:rPr>
        <w:t>按政事別分</w:t>
      </w:r>
      <w:r w:rsidRPr="0039533B">
        <w:rPr>
          <w:b/>
          <w:spacing w:val="10"/>
          <w:sz w:val="32"/>
        </w:rPr>
        <w:t>編製說明</w:t>
      </w:r>
    </w:p>
    <w:p w:rsidR="00FF4183" w:rsidRPr="0039533B" w:rsidRDefault="00FF4183" w:rsidP="00FF4183">
      <w:pPr>
        <w:ind w:leftChars="0" w:left="567" w:firstLineChars="0" w:hanging="567"/>
        <w:jc w:val="both"/>
        <w:rPr>
          <w:spacing w:val="10"/>
          <w:sz w:val="24"/>
        </w:rPr>
      </w:pPr>
      <w:r w:rsidRPr="0039533B">
        <w:rPr>
          <w:spacing w:val="10"/>
          <w:sz w:val="24"/>
        </w:rPr>
        <w:t>一、統計範圍及對象：以桃園市市庫集中支付作業程序所納入集中支付各機關支付業務資料為統計範圍及對象。</w:t>
      </w:r>
    </w:p>
    <w:p w:rsidR="00FF4183" w:rsidRPr="0039533B" w:rsidRDefault="00FF4183" w:rsidP="00FF4183">
      <w:pPr>
        <w:ind w:leftChars="0" w:left="567" w:firstLineChars="0" w:hanging="567"/>
        <w:jc w:val="both"/>
        <w:rPr>
          <w:spacing w:val="10"/>
          <w:sz w:val="24"/>
        </w:rPr>
      </w:pPr>
      <w:r w:rsidRPr="0039533B">
        <w:rPr>
          <w:spacing w:val="10"/>
          <w:sz w:val="24"/>
        </w:rPr>
        <w:t>二、統計標準時間：以每</w:t>
      </w:r>
      <w:r w:rsidR="000A2578" w:rsidRPr="0039533B">
        <w:rPr>
          <w:rFonts w:hint="eastAsia"/>
          <w:spacing w:val="10"/>
          <w:sz w:val="24"/>
        </w:rPr>
        <w:t>季第</w:t>
      </w:r>
      <w:r w:rsidR="000B6245" w:rsidRPr="0039533B">
        <w:rPr>
          <w:spacing w:val="10"/>
          <w:sz w:val="24"/>
        </w:rPr>
        <w:t>1</w:t>
      </w:r>
      <w:r w:rsidR="000B6245" w:rsidRPr="0039533B">
        <w:rPr>
          <w:spacing w:val="10"/>
          <w:sz w:val="24"/>
        </w:rPr>
        <w:t>日至</w:t>
      </w:r>
      <w:r w:rsidR="000A2578" w:rsidRPr="0039533B">
        <w:rPr>
          <w:rFonts w:hint="eastAsia"/>
          <w:spacing w:val="10"/>
          <w:sz w:val="24"/>
        </w:rPr>
        <w:t>季末</w:t>
      </w:r>
      <w:r w:rsidR="00841D29" w:rsidRPr="0039533B">
        <w:rPr>
          <w:rFonts w:hint="eastAsia"/>
          <w:spacing w:val="10"/>
          <w:sz w:val="24"/>
        </w:rPr>
        <w:t>末日</w:t>
      </w:r>
      <w:r w:rsidRPr="0039533B">
        <w:rPr>
          <w:spacing w:val="10"/>
          <w:sz w:val="24"/>
        </w:rPr>
        <w:t>之事實為準。</w:t>
      </w:r>
    </w:p>
    <w:p w:rsidR="009049A1" w:rsidRPr="0039533B" w:rsidRDefault="00FF4183" w:rsidP="00FF4183">
      <w:pPr>
        <w:ind w:leftChars="0" w:left="518" w:firstLineChars="0" w:hanging="518"/>
        <w:jc w:val="both"/>
        <w:rPr>
          <w:spacing w:val="10"/>
          <w:sz w:val="24"/>
        </w:rPr>
      </w:pPr>
      <w:r w:rsidRPr="0039533B">
        <w:rPr>
          <w:spacing w:val="10"/>
          <w:sz w:val="24"/>
        </w:rPr>
        <w:t>三、分類標準：</w:t>
      </w:r>
    </w:p>
    <w:p w:rsidR="009049A1" w:rsidRPr="0039533B" w:rsidRDefault="009049A1" w:rsidP="009049A1">
      <w:pPr>
        <w:snapToGrid w:val="0"/>
        <w:spacing w:line="300" w:lineRule="auto"/>
        <w:ind w:leftChars="100" w:left="520" w:hangingChars="100" w:hanging="240"/>
        <w:rPr>
          <w:sz w:val="24"/>
        </w:rPr>
      </w:pPr>
      <w:r w:rsidRPr="0039533B">
        <w:rPr>
          <w:sz w:val="24"/>
        </w:rPr>
        <w:t>(</w:t>
      </w:r>
      <w:r w:rsidRPr="0039533B">
        <w:rPr>
          <w:sz w:val="24"/>
        </w:rPr>
        <w:t>一</w:t>
      </w:r>
      <w:r w:rsidRPr="0039533B">
        <w:rPr>
          <w:sz w:val="24"/>
        </w:rPr>
        <w:t>)</w:t>
      </w:r>
      <w:r w:rsidRPr="0039533B">
        <w:rPr>
          <w:sz w:val="24"/>
        </w:rPr>
        <w:t>縱項目以</w:t>
      </w:r>
      <w:r w:rsidR="00CC7F3A" w:rsidRPr="0039533B">
        <w:rPr>
          <w:rFonts w:hint="eastAsia"/>
          <w:sz w:val="24"/>
          <w:szCs w:val="24"/>
        </w:rPr>
        <w:t>年度預算數</w:t>
      </w:r>
      <w:r w:rsidR="000A2578" w:rsidRPr="0039533B">
        <w:rPr>
          <w:rFonts w:ascii="標楷體" w:hAnsi="標楷體" w:hint="eastAsia"/>
          <w:sz w:val="24"/>
        </w:rPr>
        <w:t>、</w:t>
      </w:r>
      <w:r w:rsidR="000A2578" w:rsidRPr="0039533B">
        <w:rPr>
          <w:rFonts w:hint="eastAsia"/>
          <w:sz w:val="24"/>
        </w:rPr>
        <w:t>分配數</w:t>
      </w:r>
      <w:r w:rsidR="000A2578" w:rsidRPr="0039533B">
        <w:rPr>
          <w:rFonts w:ascii="標楷體" w:hAnsi="標楷體" w:hint="eastAsia"/>
          <w:sz w:val="24"/>
        </w:rPr>
        <w:t>、</w:t>
      </w:r>
      <w:r w:rsidR="000A2578" w:rsidRPr="0039533B">
        <w:rPr>
          <w:rFonts w:hint="eastAsia"/>
          <w:sz w:val="24"/>
        </w:rPr>
        <w:t>年度預算分配百分比</w:t>
      </w:r>
      <w:r w:rsidR="000A2578" w:rsidRPr="0039533B">
        <w:rPr>
          <w:rFonts w:ascii="標楷體" w:hAnsi="標楷體" w:hint="eastAsia"/>
          <w:sz w:val="24"/>
        </w:rPr>
        <w:t>、</w:t>
      </w:r>
      <w:r w:rsidR="0079440A" w:rsidRPr="0039533B">
        <w:rPr>
          <w:rFonts w:hint="eastAsia"/>
          <w:sz w:val="24"/>
        </w:rPr>
        <w:t>支</w:t>
      </w:r>
      <w:r w:rsidR="000A2578" w:rsidRPr="0039533B">
        <w:rPr>
          <w:rFonts w:hint="eastAsia"/>
          <w:sz w:val="24"/>
        </w:rPr>
        <w:t>付數</w:t>
      </w:r>
      <w:r w:rsidR="000A2578" w:rsidRPr="0039533B">
        <w:rPr>
          <w:rFonts w:ascii="標楷體" w:hAnsi="標楷體" w:hint="eastAsia"/>
          <w:sz w:val="24"/>
        </w:rPr>
        <w:t>、</w:t>
      </w:r>
      <w:r w:rsidR="00CC7F3A" w:rsidRPr="0039533B">
        <w:rPr>
          <w:rFonts w:hint="eastAsia"/>
          <w:sz w:val="24"/>
        </w:rPr>
        <w:t>分配</w:t>
      </w:r>
      <w:r w:rsidR="0079440A" w:rsidRPr="0039533B">
        <w:rPr>
          <w:rFonts w:hint="eastAsia"/>
          <w:sz w:val="24"/>
        </w:rPr>
        <w:t>預算支付</w:t>
      </w:r>
      <w:r w:rsidR="00CC7F3A" w:rsidRPr="0039533B">
        <w:rPr>
          <w:rFonts w:hint="eastAsia"/>
          <w:sz w:val="24"/>
        </w:rPr>
        <w:t>百分比</w:t>
      </w:r>
      <w:r w:rsidR="00D620BE" w:rsidRPr="0039533B">
        <w:rPr>
          <w:rFonts w:hint="eastAsia"/>
          <w:sz w:val="24"/>
          <w:szCs w:val="24"/>
        </w:rPr>
        <w:t>等項分類</w:t>
      </w:r>
      <w:r w:rsidRPr="0039533B">
        <w:rPr>
          <w:sz w:val="24"/>
        </w:rPr>
        <w:t>。</w:t>
      </w:r>
    </w:p>
    <w:p w:rsidR="00643F6F" w:rsidRPr="0039533B" w:rsidRDefault="009049A1" w:rsidP="009049A1">
      <w:pPr>
        <w:snapToGrid w:val="0"/>
        <w:spacing w:line="300" w:lineRule="auto"/>
        <w:ind w:leftChars="100" w:left="520" w:hangingChars="100" w:hanging="240"/>
        <w:rPr>
          <w:sz w:val="24"/>
        </w:rPr>
      </w:pPr>
      <w:r w:rsidRPr="0039533B">
        <w:rPr>
          <w:sz w:val="24"/>
        </w:rPr>
        <w:t>(</w:t>
      </w:r>
      <w:r w:rsidRPr="0039533B">
        <w:rPr>
          <w:sz w:val="24"/>
        </w:rPr>
        <w:t>二</w:t>
      </w:r>
      <w:r w:rsidRPr="0039533B">
        <w:rPr>
          <w:sz w:val="24"/>
        </w:rPr>
        <w:t>)</w:t>
      </w:r>
      <w:r w:rsidRPr="0039533B">
        <w:rPr>
          <w:sz w:val="24"/>
        </w:rPr>
        <w:t>橫項目以</w:t>
      </w:r>
      <w:r w:rsidR="000A2578" w:rsidRPr="0039533B">
        <w:rPr>
          <w:rFonts w:hint="eastAsia"/>
          <w:sz w:val="24"/>
        </w:rPr>
        <w:t>政事</w:t>
      </w:r>
      <w:r w:rsidRPr="0039533B">
        <w:rPr>
          <w:sz w:val="24"/>
        </w:rPr>
        <w:t>別分類。</w:t>
      </w:r>
    </w:p>
    <w:p w:rsidR="00FF4183" w:rsidRPr="0039533B" w:rsidRDefault="00FF4183" w:rsidP="00FF4183">
      <w:pPr>
        <w:ind w:leftChars="0" w:left="756" w:firstLineChars="0" w:hanging="756"/>
        <w:jc w:val="both"/>
        <w:rPr>
          <w:sz w:val="24"/>
          <w:szCs w:val="24"/>
        </w:rPr>
      </w:pPr>
      <w:r w:rsidRPr="0039533B">
        <w:rPr>
          <w:spacing w:val="10"/>
          <w:sz w:val="24"/>
        </w:rPr>
        <w:t>四、</w:t>
      </w:r>
      <w:r w:rsidRPr="0039533B">
        <w:rPr>
          <w:spacing w:val="10"/>
          <w:sz w:val="24"/>
          <w:szCs w:val="24"/>
        </w:rPr>
        <w:t>統計項目定義：</w:t>
      </w:r>
    </w:p>
    <w:p w:rsidR="00FF4183" w:rsidRPr="0039533B" w:rsidRDefault="00655D98" w:rsidP="00FF4183">
      <w:pPr>
        <w:ind w:leftChars="0" w:left="993" w:firstLineChars="0" w:hanging="709"/>
        <w:jc w:val="both"/>
        <w:rPr>
          <w:sz w:val="24"/>
          <w:szCs w:val="24"/>
        </w:rPr>
      </w:pPr>
      <w:r w:rsidRPr="0039533B">
        <w:rPr>
          <w:sz w:val="24"/>
          <w:szCs w:val="24"/>
        </w:rPr>
        <w:t>(</w:t>
      </w:r>
      <w:r w:rsidRPr="0039533B">
        <w:rPr>
          <w:sz w:val="24"/>
          <w:szCs w:val="24"/>
        </w:rPr>
        <w:t>一</w:t>
      </w:r>
      <w:r w:rsidRPr="0039533B">
        <w:rPr>
          <w:sz w:val="24"/>
          <w:szCs w:val="24"/>
        </w:rPr>
        <w:t>)</w:t>
      </w:r>
      <w:r w:rsidR="00142114" w:rsidRPr="0039533B">
        <w:rPr>
          <w:rFonts w:hint="eastAsia"/>
          <w:sz w:val="24"/>
          <w:szCs w:val="24"/>
        </w:rPr>
        <w:t xml:space="preserve"> </w:t>
      </w:r>
      <w:r w:rsidR="00D620BE" w:rsidRPr="0039533B">
        <w:rPr>
          <w:rFonts w:hint="eastAsia"/>
          <w:sz w:val="24"/>
          <w:szCs w:val="24"/>
        </w:rPr>
        <w:t>分配數之本年累計</w:t>
      </w:r>
      <w:r w:rsidR="00D620BE" w:rsidRPr="0039533B">
        <w:rPr>
          <w:sz w:val="24"/>
          <w:szCs w:val="24"/>
        </w:rPr>
        <w:t>：</w:t>
      </w:r>
      <w:r w:rsidR="00D620BE" w:rsidRPr="0039533B">
        <w:rPr>
          <w:rFonts w:hint="eastAsia"/>
          <w:sz w:val="24"/>
          <w:szCs w:val="24"/>
        </w:rPr>
        <w:t>係指分配數自年度開始至當季末之累計數</w:t>
      </w:r>
      <w:r w:rsidR="00FF4183" w:rsidRPr="0039533B">
        <w:rPr>
          <w:sz w:val="24"/>
          <w:szCs w:val="24"/>
        </w:rPr>
        <w:t>。</w:t>
      </w:r>
    </w:p>
    <w:p w:rsidR="00FF4183" w:rsidRPr="0039533B" w:rsidRDefault="00655D98" w:rsidP="00FF4183">
      <w:pPr>
        <w:ind w:leftChars="0" w:left="993" w:firstLineChars="0" w:hanging="709"/>
        <w:jc w:val="both"/>
        <w:rPr>
          <w:sz w:val="24"/>
          <w:szCs w:val="24"/>
        </w:rPr>
      </w:pPr>
      <w:r w:rsidRPr="0039533B">
        <w:rPr>
          <w:sz w:val="24"/>
          <w:szCs w:val="24"/>
        </w:rPr>
        <w:t>(</w:t>
      </w:r>
      <w:r w:rsidRPr="0039533B">
        <w:rPr>
          <w:sz w:val="24"/>
          <w:szCs w:val="24"/>
        </w:rPr>
        <w:t>二</w:t>
      </w:r>
      <w:r w:rsidRPr="0039533B">
        <w:rPr>
          <w:sz w:val="24"/>
          <w:szCs w:val="24"/>
        </w:rPr>
        <w:t>)</w:t>
      </w:r>
      <w:r w:rsidR="00D620BE" w:rsidRPr="0039533B">
        <w:rPr>
          <w:rFonts w:hint="eastAsia"/>
          <w:sz w:val="24"/>
          <w:szCs w:val="24"/>
        </w:rPr>
        <w:t xml:space="preserve"> </w:t>
      </w:r>
      <w:r w:rsidR="00D620BE" w:rsidRPr="0039533B">
        <w:rPr>
          <w:rFonts w:hint="eastAsia"/>
          <w:sz w:val="24"/>
          <w:szCs w:val="24"/>
        </w:rPr>
        <w:t>年度預算分配百分比</w:t>
      </w:r>
      <w:r w:rsidR="00D620BE" w:rsidRPr="0039533B">
        <w:rPr>
          <w:sz w:val="24"/>
          <w:szCs w:val="24"/>
        </w:rPr>
        <w:t>：</w:t>
      </w:r>
      <w:r w:rsidR="00D620BE" w:rsidRPr="0039533B">
        <w:rPr>
          <w:rFonts w:hint="eastAsia"/>
          <w:sz w:val="24"/>
          <w:szCs w:val="24"/>
        </w:rPr>
        <w:t>係指分配數之本年累計除以年度預算數之商數</w:t>
      </w:r>
      <w:r w:rsidR="00FF4183" w:rsidRPr="0039533B">
        <w:rPr>
          <w:sz w:val="24"/>
          <w:szCs w:val="24"/>
        </w:rPr>
        <w:t>。</w:t>
      </w:r>
    </w:p>
    <w:p w:rsidR="00FF4183" w:rsidRPr="0039533B" w:rsidRDefault="00655D98" w:rsidP="0001621D">
      <w:pPr>
        <w:ind w:leftChars="0" w:left="993" w:firstLineChars="0" w:hanging="709"/>
        <w:jc w:val="both"/>
        <w:rPr>
          <w:sz w:val="24"/>
          <w:szCs w:val="24"/>
        </w:rPr>
      </w:pPr>
      <w:r w:rsidRPr="0039533B">
        <w:rPr>
          <w:sz w:val="24"/>
          <w:szCs w:val="24"/>
        </w:rPr>
        <w:t>(</w:t>
      </w:r>
      <w:r w:rsidR="00FF4183" w:rsidRPr="0039533B">
        <w:rPr>
          <w:sz w:val="24"/>
          <w:szCs w:val="24"/>
        </w:rPr>
        <w:t>三</w:t>
      </w:r>
      <w:r w:rsidRPr="0039533B">
        <w:rPr>
          <w:sz w:val="24"/>
          <w:szCs w:val="24"/>
        </w:rPr>
        <w:t>)</w:t>
      </w:r>
      <w:r w:rsidR="00D620BE" w:rsidRPr="0039533B">
        <w:rPr>
          <w:rFonts w:hint="eastAsia"/>
          <w:sz w:val="24"/>
          <w:szCs w:val="24"/>
        </w:rPr>
        <w:t xml:space="preserve"> </w:t>
      </w:r>
      <w:r w:rsidR="00D620BE" w:rsidRPr="0039533B">
        <w:rPr>
          <w:rFonts w:hint="eastAsia"/>
          <w:sz w:val="24"/>
          <w:szCs w:val="24"/>
        </w:rPr>
        <w:t>支付數之本年累計</w:t>
      </w:r>
      <w:r w:rsidR="00D620BE" w:rsidRPr="0039533B">
        <w:rPr>
          <w:sz w:val="24"/>
          <w:szCs w:val="24"/>
        </w:rPr>
        <w:t>：</w:t>
      </w:r>
      <w:r w:rsidR="00D620BE" w:rsidRPr="0039533B">
        <w:rPr>
          <w:rFonts w:hint="eastAsia"/>
          <w:sz w:val="24"/>
          <w:szCs w:val="24"/>
        </w:rPr>
        <w:t>係指支付數自年度開始至當</w:t>
      </w:r>
      <w:r w:rsidR="00B413DD" w:rsidRPr="0085005B">
        <w:rPr>
          <w:rFonts w:hint="eastAsia"/>
          <w:sz w:val="24"/>
          <w:szCs w:val="24"/>
        </w:rPr>
        <w:t>季末</w:t>
      </w:r>
      <w:r w:rsidR="00D620BE" w:rsidRPr="0039533B">
        <w:rPr>
          <w:rFonts w:hint="eastAsia"/>
          <w:sz w:val="24"/>
          <w:szCs w:val="24"/>
        </w:rPr>
        <w:t>之累計數。</w:t>
      </w:r>
    </w:p>
    <w:p w:rsidR="00CC7F3A" w:rsidRPr="0039533B" w:rsidRDefault="00655D98" w:rsidP="00392022">
      <w:pPr>
        <w:ind w:leftChars="0" w:left="993" w:firstLineChars="0" w:hanging="709"/>
        <w:jc w:val="both"/>
        <w:rPr>
          <w:sz w:val="24"/>
        </w:rPr>
      </w:pPr>
      <w:r w:rsidRPr="0039533B">
        <w:rPr>
          <w:sz w:val="24"/>
          <w:szCs w:val="24"/>
        </w:rPr>
        <w:t>(</w:t>
      </w:r>
      <w:r w:rsidR="00F440C3" w:rsidRPr="0039533B">
        <w:rPr>
          <w:sz w:val="24"/>
          <w:szCs w:val="24"/>
        </w:rPr>
        <w:t>四</w:t>
      </w:r>
      <w:r w:rsidRPr="0039533B">
        <w:rPr>
          <w:sz w:val="24"/>
          <w:szCs w:val="24"/>
        </w:rPr>
        <w:t>)</w:t>
      </w:r>
      <w:r w:rsidR="00D620BE" w:rsidRPr="0039533B">
        <w:rPr>
          <w:rFonts w:hint="eastAsia"/>
          <w:sz w:val="24"/>
          <w:szCs w:val="24"/>
        </w:rPr>
        <w:t xml:space="preserve"> </w:t>
      </w:r>
      <w:r w:rsidR="00D620BE" w:rsidRPr="0039533B">
        <w:rPr>
          <w:rFonts w:hint="eastAsia"/>
          <w:sz w:val="24"/>
          <w:szCs w:val="24"/>
        </w:rPr>
        <w:t>分配預算支付百分比</w:t>
      </w:r>
      <w:r w:rsidR="00D620BE" w:rsidRPr="0039533B">
        <w:rPr>
          <w:rFonts w:ascii="標楷體" w:hAnsi="標楷體" w:hint="eastAsia"/>
          <w:sz w:val="24"/>
          <w:szCs w:val="24"/>
        </w:rPr>
        <w:t>：</w:t>
      </w:r>
      <w:r w:rsidR="00D620BE" w:rsidRPr="0039533B">
        <w:rPr>
          <w:rFonts w:hint="eastAsia"/>
          <w:sz w:val="24"/>
          <w:szCs w:val="24"/>
        </w:rPr>
        <w:t>係指支付數之本年累計除以分配數之本年累計之商數</w:t>
      </w:r>
      <w:r w:rsidR="00F440C3" w:rsidRPr="0039533B">
        <w:rPr>
          <w:sz w:val="24"/>
        </w:rPr>
        <w:t>。</w:t>
      </w:r>
      <w:r w:rsidR="00D620BE" w:rsidRPr="0039533B">
        <w:rPr>
          <w:sz w:val="24"/>
        </w:rPr>
        <w:t xml:space="preserve"> </w:t>
      </w:r>
    </w:p>
    <w:p w:rsidR="00FF4183" w:rsidRPr="0039533B" w:rsidRDefault="00FF4183" w:rsidP="00FF4183">
      <w:pPr>
        <w:ind w:leftChars="0" w:left="756" w:firstLineChars="0" w:hanging="756"/>
        <w:jc w:val="both"/>
        <w:rPr>
          <w:spacing w:val="10"/>
          <w:sz w:val="24"/>
        </w:rPr>
      </w:pPr>
      <w:r w:rsidRPr="0039533B">
        <w:rPr>
          <w:spacing w:val="10"/>
          <w:sz w:val="24"/>
        </w:rPr>
        <w:t>五、資料蒐集方法及編製程序：由本局集中支付科依據</w:t>
      </w:r>
      <w:r w:rsidR="00660FED" w:rsidRPr="0039533B">
        <w:rPr>
          <w:spacing w:val="10"/>
          <w:sz w:val="24"/>
        </w:rPr>
        <w:t>各集中支付機關</w:t>
      </w:r>
      <w:r w:rsidRPr="0039533B">
        <w:rPr>
          <w:spacing w:val="10"/>
          <w:sz w:val="24"/>
        </w:rPr>
        <w:t>各項支付業務資料編製。</w:t>
      </w:r>
    </w:p>
    <w:p w:rsidR="00FF4183" w:rsidRPr="000767B6" w:rsidRDefault="00FF4183" w:rsidP="00FF4183">
      <w:pPr>
        <w:ind w:leftChars="0" w:left="756" w:firstLineChars="0" w:hanging="756"/>
        <w:jc w:val="both"/>
        <w:rPr>
          <w:spacing w:val="10"/>
          <w:sz w:val="24"/>
        </w:rPr>
      </w:pPr>
      <w:r w:rsidRPr="0039533B">
        <w:rPr>
          <w:spacing w:val="10"/>
          <w:sz w:val="24"/>
        </w:rPr>
        <w:t>六、編</w:t>
      </w:r>
      <w:bookmarkStart w:id="0" w:name="_GoBack"/>
      <w:r w:rsidRPr="000767B6">
        <w:rPr>
          <w:spacing w:val="10"/>
          <w:sz w:val="24"/>
        </w:rPr>
        <w:t>送對象：</w:t>
      </w:r>
      <w:r w:rsidR="00314E51" w:rsidRPr="000767B6">
        <w:rPr>
          <w:rFonts w:hint="eastAsia"/>
          <w:kern w:val="0"/>
          <w:sz w:val="24"/>
          <w:szCs w:val="24"/>
        </w:rPr>
        <w:t>本表應於編製期限內經網際網路上傳至桃園市政府公務統計行政管理系統。</w:t>
      </w:r>
    </w:p>
    <w:bookmarkEnd w:id="0"/>
    <w:p w:rsidR="00E3416D" w:rsidRPr="000767B6" w:rsidRDefault="00E3416D" w:rsidP="00FF4183">
      <w:pPr>
        <w:ind w:left="1120" w:hanging="560"/>
      </w:pPr>
    </w:p>
    <w:sectPr w:rsidR="00E3416D" w:rsidRPr="000767B6" w:rsidSect="00FF4183">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ACE" w:rsidRDefault="005D6ACE" w:rsidP="00643F6F">
      <w:pPr>
        <w:ind w:left="1120" w:hanging="560"/>
      </w:pPr>
      <w:r>
        <w:separator/>
      </w:r>
    </w:p>
  </w:endnote>
  <w:endnote w:type="continuationSeparator" w:id="0">
    <w:p w:rsidR="005D6ACE" w:rsidRDefault="005D6ACE" w:rsidP="00643F6F">
      <w:pPr>
        <w:ind w:left="1120" w:hanging="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5"/>
      <w:ind w:left="960" w:hanging="4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5"/>
      <w:ind w:left="960" w:hanging="4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5"/>
      <w:ind w:left="960" w:hanging="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ACE" w:rsidRDefault="005D6ACE" w:rsidP="00643F6F">
      <w:pPr>
        <w:ind w:left="1120" w:hanging="560"/>
      </w:pPr>
      <w:r>
        <w:separator/>
      </w:r>
    </w:p>
  </w:footnote>
  <w:footnote w:type="continuationSeparator" w:id="0">
    <w:p w:rsidR="005D6ACE" w:rsidRDefault="005D6ACE" w:rsidP="00643F6F">
      <w:pPr>
        <w:ind w:left="1120" w:hanging="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3"/>
      <w:ind w:left="960" w:hanging="4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3"/>
      <w:ind w:left="960" w:hanging="4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6F" w:rsidRDefault="00643F6F" w:rsidP="00643F6F">
    <w:pPr>
      <w:pStyle w:val="a3"/>
      <w:ind w:left="960" w:hanging="4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183"/>
    <w:rsid w:val="0001621D"/>
    <w:rsid w:val="000767B6"/>
    <w:rsid w:val="000A2578"/>
    <w:rsid w:val="000A355F"/>
    <w:rsid w:val="000B6245"/>
    <w:rsid w:val="00142114"/>
    <w:rsid w:val="001555E2"/>
    <w:rsid w:val="001B283C"/>
    <w:rsid w:val="00217765"/>
    <w:rsid w:val="00262796"/>
    <w:rsid w:val="002B5F6F"/>
    <w:rsid w:val="00314E51"/>
    <w:rsid w:val="00392022"/>
    <w:rsid w:val="0039533B"/>
    <w:rsid w:val="003D354F"/>
    <w:rsid w:val="003E2C41"/>
    <w:rsid w:val="004D4097"/>
    <w:rsid w:val="005845CD"/>
    <w:rsid w:val="005D6ACE"/>
    <w:rsid w:val="005E0269"/>
    <w:rsid w:val="00603C3D"/>
    <w:rsid w:val="00640736"/>
    <w:rsid w:val="00642834"/>
    <w:rsid w:val="00643F6F"/>
    <w:rsid w:val="00655D98"/>
    <w:rsid w:val="00660FED"/>
    <w:rsid w:val="00667986"/>
    <w:rsid w:val="006C3375"/>
    <w:rsid w:val="0079440A"/>
    <w:rsid w:val="007C73AD"/>
    <w:rsid w:val="007D0E55"/>
    <w:rsid w:val="00841D29"/>
    <w:rsid w:val="0085005B"/>
    <w:rsid w:val="009049A1"/>
    <w:rsid w:val="00905073"/>
    <w:rsid w:val="0095774C"/>
    <w:rsid w:val="00A012CB"/>
    <w:rsid w:val="00A52004"/>
    <w:rsid w:val="00B3000F"/>
    <w:rsid w:val="00B413DD"/>
    <w:rsid w:val="00BA4C94"/>
    <w:rsid w:val="00C47433"/>
    <w:rsid w:val="00CC378C"/>
    <w:rsid w:val="00CC7A9E"/>
    <w:rsid w:val="00CC7F3A"/>
    <w:rsid w:val="00CE5768"/>
    <w:rsid w:val="00D02026"/>
    <w:rsid w:val="00D620BE"/>
    <w:rsid w:val="00D62CF5"/>
    <w:rsid w:val="00D81B3B"/>
    <w:rsid w:val="00DD23FD"/>
    <w:rsid w:val="00DE58FB"/>
    <w:rsid w:val="00DE629C"/>
    <w:rsid w:val="00E00E48"/>
    <w:rsid w:val="00E24746"/>
    <w:rsid w:val="00E3416D"/>
    <w:rsid w:val="00E84FF2"/>
    <w:rsid w:val="00EA6D30"/>
    <w:rsid w:val="00F440C3"/>
    <w:rsid w:val="00FF41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1E1745-69DE-4002-87D6-96E84A6D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內文一"/>
    <w:qFormat/>
    <w:rsid w:val="00FF4183"/>
    <w:pPr>
      <w:widowControl w:val="0"/>
      <w:ind w:leftChars="200" w:left="400" w:hangingChars="200" w:hanging="200"/>
    </w:pPr>
    <w:rPr>
      <w:rFonts w:ascii="Times New Roman" w:eastAsia="標楷體"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3F6F"/>
    <w:pPr>
      <w:tabs>
        <w:tab w:val="center" w:pos="4153"/>
        <w:tab w:val="right" w:pos="8306"/>
      </w:tabs>
      <w:snapToGrid w:val="0"/>
    </w:pPr>
    <w:rPr>
      <w:sz w:val="20"/>
    </w:rPr>
  </w:style>
  <w:style w:type="character" w:customStyle="1" w:styleId="a4">
    <w:name w:val="頁首 字元"/>
    <w:basedOn w:val="a0"/>
    <w:link w:val="a3"/>
    <w:uiPriority w:val="99"/>
    <w:rsid w:val="00643F6F"/>
    <w:rPr>
      <w:rFonts w:ascii="Times New Roman" w:eastAsia="標楷體" w:hAnsi="Times New Roman" w:cs="Times New Roman"/>
      <w:sz w:val="20"/>
      <w:szCs w:val="20"/>
    </w:rPr>
  </w:style>
  <w:style w:type="paragraph" w:styleId="a5">
    <w:name w:val="footer"/>
    <w:basedOn w:val="a"/>
    <w:link w:val="a6"/>
    <w:uiPriority w:val="99"/>
    <w:unhideWhenUsed/>
    <w:rsid w:val="00643F6F"/>
    <w:pPr>
      <w:tabs>
        <w:tab w:val="center" w:pos="4153"/>
        <w:tab w:val="right" w:pos="8306"/>
      </w:tabs>
      <w:snapToGrid w:val="0"/>
    </w:pPr>
    <w:rPr>
      <w:sz w:val="20"/>
    </w:rPr>
  </w:style>
  <w:style w:type="character" w:customStyle="1" w:styleId="a6">
    <w:name w:val="頁尾 字元"/>
    <w:basedOn w:val="a0"/>
    <w:link w:val="a5"/>
    <w:uiPriority w:val="99"/>
    <w:rsid w:val="00643F6F"/>
    <w:rPr>
      <w:rFonts w:ascii="Times New Roman" w:eastAsia="標楷體" w:hAnsi="Times New Roman" w:cs="Times New Roman"/>
      <w:sz w:val="20"/>
      <w:szCs w:val="20"/>
    </w:rPr>
  </w:style>
  <w:style w:type="paragraph" w:styleId="a7">
    <w:name w:val="Balloon Text"/>
    <w:basedOn w:val="a"/>
    <w:link w:val="a8"/>
    <w:uiPriority w:val="99"/>
    <w:semiHidden/>
    <w:unhideWhenUsed/>
    <w:rsid w:val="0039533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953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Words>
  <Characters>348</Characters>
  <Application>Microsoft Office Word</Application>
  <DocSecurity>0</DocSecurity>
  <Lines>2</Lines>
  <Paragraphs>1</Paragraphs>
  <ScaleCrop>false</ScaleCrop>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胡雅婷</dc:creator>
  <cp:lastModifiedBy>倪微琇</cp:lastModifiedBy>
  <cp:revision>6</cp:revision>
  <cp:lastPrinted>2017-10-25T00:34:00Z</cp:lastPrinted>
  <dcterms:created xsi:type="dcterms:W3CDTF">2020-05-14T04:12:00Z</dcterms:created>
  <dcterms:modified xsi:type="dcterms:W3CDTF">2021-10-26T08:18:00Z</dcterms:modified>
</cp:coreProperties>
</file>