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5E" w:rsidRPr="00CC699D" w:rsidRDefault="00CC699D" w:rsidP="00CC699D">
      <w:pPr>
        <w:jc w:val="center"/>
        <w:rPr>
          <w:rFonts w:ascii="標楷體" w:eastAsia="標楷體" w:hAnsi="標楷體"/>
          <w:b/>
          <w:sz w:val="36"/>
          <w:szCs w:val="32"/>
        </w:rPr>
      </w:pPr>
      <w:bookmarkStart w:id="0" w:name="_GoBack"/>
      <w:bookmarkEnd w:id="0"/>
      <w:r w:rsidRPr="00CC699D">
        <w:rPr>
          <w:rFonts w:ascii="標楷體" w:eastAsia="標楷體" w:hAnsi="標楷體" w:hint="eastAsia"/>
          <w:b/>
          <w:sz w:val="36"/>
          <w:szCs w:val="32"/>
        </w:rPr>
        <w:t>統計通報</w:t>
      </w:r>
    </w:p>
    <w:p w:rsidR="00CC699D" w:rsidRPr="00630066" w:rsidRDefault="00CC699D" w:rsidP="00CC699D">
      <w:pPr>
        <w:spacing w:line="500" w:lineRule="exact"/>
        <w:rPr>
          <w:rFonts w:ascii="標楷體" w:eastAsia="標楷體" w:hAnsi="標楷體"/>
          <w:sz w:val="28"/>
          <w:szCs w:val="30"/>
        </w:rPr>
      </w:pPr>
      <w:r w:rsidRPr="00630066">
        <w:rPr>
          <w:rFonts w:ascii="標楷體" w:eastAsia="標楷體" w:hAnsi="標楷體" w:hint="eastAsia"/>
          <w:sz w:val="28"/>
          <w:szCs w:val="30"/>
        </w:rPr>
        <w:t>撰寫單位：桃園市政府財政局</w:t>
      </w:r>
    </w:p>
    <w:p w:rsidR="00CC699D" w:rsidRPr="00630066" w:rsidRDefault="00CC699D" w:rsidP="00CC699D">
      <w:pPr>
        <w:spacing w:line="500" w:lineRule="exact"/>
        <w:rPr>
          <w:rFonts w:ascii="標楷體" w:eastAsia="標楷體" w:hAnsi="標楷體"/>
          <w:sz w:val="28"/>
          <w:szCs w:val="30"/>
        </w:rPr>
      </w:pPr>
      <w:r w:rsidRPr="00630066">
        <w:rPr>
          <w:rFonts w:ascii="標楷體" w:eastAsia="標楷體" w:hAnsi="標楷體" w:hint="eastAsia"/>
          <w:sz w:val="28"/>
          <w:szCs w:val="30"/>
        </w:rPr>
        <w:t>撰寫日期：108年9月</w:t>
      </w:r>
    </w:p>
    <w:p w:rsidR="00CC699D" w:rsidRPr="00630066" w:rsidRDefault="00CC699D" w:rsidP="00CC699D">
      <w:pPr>
        <w:spacing w:line="500" w:lineRule="exact"/>
        <w:rPr>
          <w:rFonts w:ascii="標楷體" w:eastAsia="標楷體" w:hAnsi="標楷體"/>
          <w:sz w:val="28"/>
          <w:szCs w:val="30"/>
        </w:rPr>
      </w:pPr>
      <w:r w:rsidRPr="00630066">
        <w:rPr>
          <w:rFonts w:ascii="標楷體" w:eastAsia="標楷體" w:hAnsi="標楷體" w:hint="eastAsia"/>
          <w:sz w:val="28"/>
          <w:szCs w:val="30"/>
        </w:rPr>
        <w:t>撰寫人：郭怡君(03)3322101分機5544</w:t>
      </w:r>
    </w:p>
    <w:p w:rsidR="000249C8" w:rsidRPr="00630066" w:rsidRDefault="002511C9" w:rsidP="00D94E91">
      <w:pPr>
        <w:spacing w:beforeLines="100" w:before="360" w:line="360" w:lineRule="auto"/>
        <w:jc w:val="center"/>
        <w:rPr>
          <w:rFonts w:ascii="標楷體" w:eastAsia="標楷體" w:hAnsi="標楷體"/>
          <w:b/>
          <w:sz w:val="32"/>
          <w:szCs w:val="32"/>
        </w:rPr>
      </w:pPr>
      <w:r>
        <w:rPr>
          <w:rFonts w:ascii="標楷體" w:eastAsia="標楷體" w:hAnsi="標楷體" w:hint="eastAsia"/>
          <w:b/>
          <w:sz w:val="32"/>
          <w:szCs w:val="32"/>
        </w:rPr>
        <w:t>桃園市政府辦理促進民間參與公共建設案件情形</w:t>
      </w:r>
    </w:p>
    <w:p w:rsidR="00CC699D" w:rsidRPr="00630066" w:rsidRDefault="000249C8" w:rsidP="008305E0">
      <w:pPr>
        <w:spacing w:beforeLines="20" w:before="72" w:line="440" w:lineRule="exact"/>
        <w:ind w:firstLineChars="214" w:firstLine="599"/>
        <w:jc w:val="both"/>
        <w:rPr>
          <w:rFonts w:ascii="標楷體" w:eastAsia="標楷體" w:hAnsi="標楷體"/>
          <w:sz w:val="28"/>
          <w:szCs w:val="28"/>
        </w:rPr>
      </w:pPr>
      <w:r w:rsidRPr="00630066">
        <w:rPr>
          <w:rFonts w:ascii="標楷體" w:eastAsia="標楷體" w:hAnsi="標楷體" w:hint="eastAsia"/>
          <w:sz w:val="28"/>
          <w:szCs w:val="28"/>
        </w:rPr>
        <w:t>促進民間參與公共建設之目的在於引進企業經營管理能量，改善公共服務品質、減輕政府財政負擔、擴大公共建設投資及提振經濟景氣。</w:t>
      </w:r>
    </w:p>
    <w:p w:rsidR="00CD7AC3" w:rsidRPr="00630066" w:rsidRDefault="006F4D83" w:rsidP="00E320D8">
      <w:pPr>
        <w:spacing w:beforeLines="20" w:before="72" w:line="460" w:lineRule="exact"/>
        <w:ind w:firstLineChars="214" w:firstLine="599"/>
        <w:jc w:val="both"/>
        <w:rPr>
          <w:rFonts w:ascii="標楷體" w:eastAsia="標楷體" w:hAnsi="標楷體"/>
          <w:sz w:val="28"/>
          <w:szCs w:val="28"/>
        </w:rPr>
      </w:pPr>
      <w:r w:rsidRPr="00630066">
        <w:rPr>
          <w:rFonts w:ascii="標楷體" w:eastAsia="標楷體" w:hAnsi="標楷體" w:hint="eastAsia"/>
          <w:sz w:val="28"/>
          <w:szCs w:val="28"/>
        </w:rPr>
        <w:t>依促</w:t>
      </w:r>
      <w:r w:rsidR="00F2480D" w:rsidRPr="00630066">
        <w:rPr>
          <w:rFonts w:ascii="標楷體" w:eastAsia="標楷體" w:hAnsi="標楷體" w:hint="eastAsia"/>
          <w:sz w:val="28"/>
          <w:szCs w:val="28"/>
        </w:rPr>
        <w:t>進民間</w:t>
      </w:r>
      <w:r w:rsidRPr="00630066">
        <w:rPr>
          <w:rFonts w:ascii="標楷體" w:eastAsia="標楷體" w:hAnsi="標楷體" w:hint="eastAsia"/>
          <w:sz w:val="28"/>
          <w:szCs w:val="28"/>
        </w:rPr>
        <w:t>參</w:t>
      </w:r>
      <w:r w:rsidR="00F2480D" w:rsidRPr="00630066">
        <w:rPr>
          <w:rFonts w:ascii="標楷體" w:eastAsia="標楷體" w:hAnsi="標楷體" w:hint="eastAsia"/>
          <w:sz w:val="28"/>
          <w:szCs w:val="28"/>
        </w:rPr>
        <w:t>與公共建設</w:t>
      </w:r>
      <w:r w:rsidRPr="00630066">
        <w:rPr>
          <w:rFonts w:ascii="標楷體" w:eastAsia="標楷體" w:hAnsi="標楷體" w:hint="eastAsia"/>
          <w:sz w:val="28"/>
          <w:szCs w:val="28"/>
        </w:rPr>
        <w:t>法規定，民間參與公共建設方式如下：</w:t>
      </w:r>
    </w:p>
    <w:p w:rsidR="006F4D83" w:rsidRPr="00630066" w:rsidRDefault="006F4D83" w:rsidP="008305E0">
      <w:pPr>
        <w:spacing w:beforeLines="10" w:before="36" w:afterLines="10" w:after="36" w:line="400" w:lineRule="exact"/>
        <w:ind w:leftChars="286" w:left="1985" w:hangingChars="464" w:hanging="1299"/>
        <w:jc w:val="both"/>
        <w:rPr>
          <w:rFonts w:ascii="標楷體" w:eastAsia="標楷體" w:hAnsi="標楷體"/>
          <w:sz w:val="28"/>
          <w:szCs w:val="28"/>
        </w:rPr>
      </w:pPr>
      <w:r w:rsidRPr="00630066">
        <w:rPr>
          <w:rFonts w:ascii="標楷體" w:eastAsia="標楷體" w:hAnsi="標楷體" w:hint="eastAsia"/>
          <w:sz w:val="28"/>
          <w:szCs w:val="28"/>
        </w:rPr>
        <w:t>一、</w:t>
      </w:r>
      <w:r w:rsidR="00355E3C" w:rsidRPr="00630066">
        <w:rPr>
          <w:rFonts w:ascii="標楷體" w:eastAsia="標楷體" w:hAnsi="標楷體" w:hint="eastAsia"/>
          <w:sz w:val="28"/>
          <w:szCs w:val="28"/>
        </w:rPr>
        <w:t>BOT：民間機構投資新建並為營運；營運期間屆滿後，移轉該建設之所有權予政府（Build-Operate-Transfer）。</w:t>
      </w:r>
    </w:p>
    <w:p w:rsidR="00355E3C" w:rsidRPr="00630066" w:rsidRDefault="00355E3C" w:rsidP="008305E0">
      <w:pPr>
        <w:spacing w:beforeLines="10" w:before="36" w:afterLines="10" w:after="36" w:line="400" w:lineRule="exact"/>
        <w:ind w:leftChars="286" w:left="1985" w:hangingChars="464" w:hanging="1299"/>
        <w:jc w:val="both"/>
        <w:rPr>
          <w:rFonts w:ascii="標楷體" w:eastAsia="標楷體" w:hAnsi="標楷體"/>
          <w:sz w:val="28"/>
          <w:szCs w:val="28"/>
        </w:rPr>
      </w:pPr>
      <w:r w:rsidRPr="00630066">
        <w:rPr>
          <w:rFonts w:ascii="標楷體" w:eastAsia="標楷體" w:hAnsi="標楷體" w:hint="eastAsia"/>
          <w:sz w:val="28"/>
          <w:szCs w:val="28"/>
        </w:rPr>
        <w:t>二、BTO：民間機構投資新建完成後，政府無償取得所有權；或一次/分期給付建設經費以取得所有權，並由該民間機構營運；營運期間屆滿後，營運權歸還政府（Build-Transfer-Operate）。</w:t>
      </w:r>
    </w:p>
    <w:p w:rsidR="00355E3C" w:rsidRPr="00630066" w:rsidRDefault="00355E3C" w:rsidP="008305E0">
      <w:pPr>
        <w:spacing w:beforeLines="10" w:before="36" w:afterLines="10" w:after="36" w:line="400" w:lineRule="exact"/>
        <w:ind w:leftChars="286" w:left="1985" w:hangingChars="464" w:hanging="1299"/>
        <w:jc w:val="both"/>
        <w:rPr>
          <w:rFonts w:ascii="標楷體" w:eastAsia="標楷體" w:hAnsi="標楷體"/>
          <w:sz w:val="28"/>
          <w:szCs w:val="28"/>
        </w:rPr>
      </w:pPr>
      <w:r w:rsidRPr="00630066">
        <w:rPr>
          <w:rFonts w:ascii="標楷體" w:eastAsia="標楷體" w:hAnsi="標楷體" w:hint="eastAsia"/>
          <w:sz w:val="28"/>
          <w:szCs w:val="28"/>
        </w:rPr>
        <w:t>三、ROT：民間機構投資增建、改建及修建政府現有建設並為營運；營運期間屆滿後，營運權歸還政府（Rehabilitate-Operate-Transfer）。</w:t>
      </w:r>
    </w:p>
    <w:p w:rsidR="00355E3C" w:rsidRPr="00630066" w:rsidRDefault="00355E3C" w:rsidP="008305E0">
      <w:pPr>
        <w:spacing w:beforeLines="10" w:before="36" w:afterLines="10" w:after="36" w:line="400" w:lineRule="exact"/>
        <w:ind w:leftChars="286" w:left="1985" w:hangingChars="464" w:hanging="1299"/>
        <w:jc w:val="both"/>
        <w:rPr>
          <w:rFonts w:ascii="標楷體" w:eastAsia="標楷體" w:hAnsi="標楷體"/>
          <w:sz w:val="28"/>
          <w:szCs w:val="28"/>
        </w:rPr>
      </w:pPr>
      <w:r w:rsidRPr="00630066">
        <w:rPr>
          <w:rFonts w:ascii="標楷體" w:eastAsia="標楷體" w:hAnsi="標楷體" w:hint="eastAsia"/>
          <w:sz w:val="28"/>
          <w:szCs w:val="28"/>
        </w:rPr>
        <w:t>四、OT：民間機構營運政府投資興建完成之建設，營運期間屆滿後，營運權歸還政府（Operate-Transfer）。</w:t>
      </w:r>
    </w:p>
    <w:p w:rsidR="00355E3C" w:rsidRDefault="00355E3C" w:rsidP="008305E0">
      <w:pPr>
        <w:spacing w:beforeLines="10" w:before="36" w:afterLines="10" w:after="36" w:line="400" w:lineRule="exact"/>
        <w:ind w:leftChars="286" w:left="1985" w:hangingChars="464" w:hanging="1299"/>
        <w:jc w:val="both"/>
        <w:rPr>
          <w:rFonts w:ascii="標楷體" w:eastAsia="標楷體" w:hAnsi="標楷體"/>
          <w:sz w:val="28"/>
          <w:szCs w:val="28"/>
        </w:rPr>
      </w:pPr>
      <w:r w:rsidRPr="00630066">
        <w:rPr>
          <w:rFonts w:ascii="標楷體" w:eastAsia="標楷體" w:hAnsi="標楷體" w:hint="eastAsia"/>
          <w:sz w:val="28"/>
          <w:szCs w:val="28"/>
        </w:rPr>
        <w:t>五、BOO：配合政府政策，由民間機構自行備具私有土地投資新建，擁有所有權，並自為營運或委託第三人營運（Build-Own-Operate）。</w:t>
      </w:r>
    </w:p>
    <w:p w:rsidR="00622CC6" w:rsidRDefault="00622CC6" w:rsidP="008305E0">
      <w:pPr>
        <w:spacing w:beforeLines="20" w:before="72" w:afterLines="10" w:after="36" w:line="440" w:lineRule="exact"/>
        <w:ind w:firstLineChars="214" w:firstLine="599"/>
        <w:jc w:val="both"/>
        <w:rPr>
          <w:rFonts w:ascii="標楷體" w:eastAsia="標楷體" w:hAnsi="標楷體"/>
          <w:sz w:val="28"/>
          <w:szCs w:val="28"/>
        </w:rPr>
      </w:pPr>
      <w:r w:rsidRPr="00630066">
        <w:rPr>
          <w:rFonts w:ascii="標楷體" w:eastAsia="標楷體" w:hAnsi="標楷體" w:hint="eastAsia"/>
          <w:sz w:val="28"/>
          <w:szCs w:val="28"/>
        </w:rPr>
        <w:t>本府目前列管依促參法等法令甄選民間投入資金參與本市各項公共建設已完成簽約之案件計有本府</w:t>
      </w:r>
      <w:r w:rsidR="00616EE1">
        <w:rPr>
          <w:rFonts w:ascii="標楷體" w:eastAsia="標楷體" w:hAnsi="標楷體" w:hint="eastAsia"/>
          <w:sz w:val="28"/>
          <w:szCs w:val="28"/>
        </w:rPr>
        <w:t>環境保護</w:t>
      </w:r>
      <w:r w:rsidRPr="00630066">
        <w:rPr>
          <w:rFonts w:ascii="標楷體" w:eastAsia="標楷體" w:hAnsi="標楷體" w:hint="eastAsia"/>
          <w:sz w:val="28"/>
          <w:szCs w:val="28"/>
        </w:rPr>
        <w:t>局主辦「</w:t>
      </w:r>
      <w:r w:rsidR="00616EE1" w:rsidRPr="00616EE1">
        <w:rPr>
          <w:rFonts w:ascii="標楷體" w:eastAsia="標楷體" w:hAnsi="標楷體" w:hint="eastAsia"/>
          <w:sz w:val="28"/>
          <w:szCs w:val="28"/>
        </w:rPr>
        <w:t>桃園市生質能中心興建、營運及移轉（BOT）案</w:t>
      </w:r>
      <w:r w:rsidRPr="00630066">
        <w:rPr>
          <w:rFonts w:ascii="標楷體" w:eastAsia="標楷體" w:hAnsi="標楷體" w:hint="eastAsia"/>
          <w:sz w:val="28"/>
          <w:szCs w:val="28"/>
        </w:rPr>
        <w:t>」等</w:t>
      </w:r>
      <w:r w:rsidRPr="00630066">
        <w:rPr>
          <w:rFonts w:ascii="標楷體" w:eastAsia="標楷體" w:hAnsi="標楷體"/>
          <w:bCs/>
          <w:sz w:val="28"/>
          <w:szCs w:val="28"/>
        </w:rPr>
        <w:t>3</w:t>
      </w:r>
      <w:r w:rsidRPr="00630066">
        <w:rPr>
          <w:rFonts w:ascii="標楷體" w:eastAsia="標楷體" w:hAnsi="標楷體" w:hint="eastAsia"/>
          <w:bCs/>
          <w:sz w:val="28"/>
          <w:szCs w:val="28"/>
        </w:rPr>
        <w:t>2案</w:t>
      </w:r>
      <w:r w:rsidR="002511C9">
        <w:rPr>
          <w:rFonts w:ascii="標楷體" w:eastAsia="標楷體" w:hAnsi="標楷體" w:hint="eastAsia"/>
          <w:sz w:val="28"/>
          <w:szCs w:val="28"/>
        </w:rPr>
        <w:t>，歷年促參案件民間投資金額累計已</w:t>
      </w:r>
      <w:r w:rsidRPr="00630066">
        <w:rPr>
          <w:rFonts w:ascii="標楷體" w:eastAsia="標楷體" w:hAnsi="標楷體" w:hint="eastAsia"/>
          <w:sz w:val="28"/>
          <w:szCs w:val="28"/>
        </w:rPr>
        <w:t>達</w:t>
      </w:r>
      <w:r w:rsidR="00207401">
        <w:rPr>
          <w:rFonts w:ascii="標楷體" w:eastAsia="標楷體" w:hAnsi="標楷體" w:hint="eastAsia"/>
          <w:sz w:val="28"/>
          <w:szCs w:val="28"/>
        </w:rPr>
        <w:t>新臺幣（以下同）</w:t>
      </w:r>
      <w:r w:rsidR="003D7105" w:rsidRPr="00630066">
        <w:rPr>
          <w:rFonts w:ascii="標楷體" w:eastAsia="標楷體" w:hAnsi="標楷體" w:hint="eastAsia"/>
          <w:sz w:val="28"/>
          <w:szCs w:val="28"/>
        </w:rPr>
        <w:t>516</w:t>
      </w:r>
      <w:r w:rsidRPr="00630066">
        <w:rPr>
          <w:rFonts w:ascii="標楷體" w:eastAsia="標楷體" w:hAnsi="標楷體" w:hint="eastAsia"/>
          <w:bCs/>
          <w:sz w:val="28"/>
          <w:szCs w:val="28"/>
        </w:rPr>
        <w:t>億</w:t>
      </w:r>
      <w:r w:rsidR="00355E3C" w:rsidRPr="00630066">
        <w:rPr>
          <w:rFonts w:ascii="標楷體" w:eastAsia="標楷體" w:hAnsi="標楷體" w:hint="eastAsia"/>
          <w:bCs/>
          <w:sz w:val="28"/>
          <w:szCs w:val="28"/>
        </w:rPr>
        <w:t>餘</w:t>
      </w:r>
      <w:r w:rsidRPr="00630066">
        <w:rPr>
          <w:rFonts w:ascii="標楷體" w:eastAsia="標楷體" w:hAnsi="標楷體" w:hint="eastAsia"/>
          <w:bCs/>
          <w:sz w:val="28"/>
          <w:szCs w:val="28"/>
        </w:rPr>
        <w:t>元</w:t>
      </w:r>
      <w:r w:rsidR="00972162" w:rsidRPr="00630066">
        <w:rPr>
          <w:rFonts w:ascii="標楷體" w:eastAsia="標楷體" w:hAnsi="標楷體" w:hint="eastAsia"/>
          <w:sz w:val="28"/>
          <w:szCs w:val="28"/>
        </w:rPr>
        <w:t>。</w:t>
      </w:r>
    </w:p>
    <w:p w:rsidR="00616EE1" w:rsidRPr="00616EE1" w:rsidRDefault="00616EE1" w:rsidP="008305E0">
      <w:pPr>
        <w:spacing w:beforeLines="20" w:before="72" w:afterLines="10" w:after="36" w:line="440" w:lineRule="exact"/>
        <w:ind w:firstLineChars="214" w:firstLine="599"/>
        <w:jc w:val="both"/>
        <w:rPr>
          <w:rFonts w:ascii="標楷體" w:eastAsia="標楷體" w:hAnsi="標楷體"/>
          <w:sz w:val="28"/>
          <w:szCs w:val="28"/>
        </w:rPr>
      </w:pPr>
    </w:p>
    <w:tbl>
      <w:tblPr>
        <w:tblStyle w:val="a3"/>
        <w:tblpPr w:leftFromText="180" w:rightFromText="180" w:vertAnchor="text" w:horzAnchor="margin" w:tblpXSpec="center" w:tblpY="376"/>
        <w:tblOverlap w:val="never"/>
        <w:tblW w:w="7905" w:type="dxa"/>
        <w:tblLook w:val="04A0" w:firstRow="1" w:lastRow="0" w:firstColumn="1" w:lastColumn="0" w:noHBand="0" w:noVBand="1"/>
      </w:tblPr>
      <w:tblGrid>
        <w:gridCol w:w="2558"/>
        <w:gridCol w:w="2338"/>
        <w:gridCol w:w="3009"/>
      </w:tblGrid>
      <w:tr w:rsidR="00B125AC" w:rsidTr="002511C9">
        <w:tc>
          <w:tcPr>
            <w:tcW w:w="7905" w:type="dxa"/>
            <w:gridSpan w:val="3"/>
            <w:vAlign w:val="center"/>
          </w:tcPr>
          <w:p w:rsidR="00B125AC" w:rsidRDefault="00B125AC" w:rsidP="002511C9">
            <w:pPr>
              <w:spacing w:beforeLines="10" w:before="36" w:afterLines="10" w:after="36" w:line="420" w:lineRule="exact"/>
              <w:ind w:leftChars="-21" w:left="-50" w:rightChars="-17" w:right="-41"/>
              <w:jc w:val="center"/>
              <w:rPr>
                <w:rFonts w:ascii="標楷體" w:eastAsia="標楷體" w:hAnsi="標楷體"/>
                <w:sz w:val="28"/>
                <w:szCs w:val="28"/>
              </w:rPr>
            </w:pPr>
            <w:r w:rsidRPr="00630066">
              <w:rPr>
                <w:rFonts w:ascii="標楷體" w:eastAsia="標楷體" w:hAnsi="標楷體" w:hint="eastAsia"/>
                <w:sz w:val="28"/>
                <w:szCs w:val="28"/>
              </w:rPr>
              <w:lastRenderedPageBreak/>
              <w:t>本府已簽約促參案件統計表</w:t>
            </w:r>
          </w:p>
          <w:p w:rsidR="002511C9" w:rsidRPr="00630066" w:rsidRDefault="002511C9" w:rsidP="002511C9">
            <w:pPr>
              <w:spacing w:beforeLines="10" w:before="36" w:afterLines="10" w:after="36" w:line="420" w:lineRule="exact"/>
              <w:ind w:leftChars="-21" w:left="-50" w:rightChars="-17" w:right="-41"/>
              <w:jc w:val="right"/>
              <w:rPr>
                <w:rFonts w:ascii="標楷體" w:eastAsia="標楷體" w:hAnsi="標楷體"/>
                <w:sz w:val="28"/>
                <w:szCs w:val="28"/>
              </w:rPr>
            </w:pPr>
            <w:r w:rsidRPr="002511C9">
              <w:rPr>
                <w:rFonts w:ascii="標楷體" w:eastAsia="標楷體" w:hAnsi="標楷體" w:hint="eastAsia"/>
                <w:szCs w:val="28"/>
              </w:rPr>
              <w:t>統計時間：108年9月</w:t>
            </w:r>
          </w:p>
        </w:tc>
      </w:tr>
      <w:tr w:rsidR="002511C9" w:rsidTr="002511C9">
        <w:tc>
          <w:tcPr>
            <w:tcW w:w="2558" w:type="dxa"/>
            <w:shd w:val="clear" w:color="auto" w:fill="FFFFCC"/>
            <w:vAlign w:val="center"/>
          </w:tcPr>
          <w:p w:rsidR="002511C9" w:rsidRPr="00630066" w:rsidRDefault="002511C9" w:rsidP="002511C9">
            <w:pPr>
              <w:spacing w:beforeLines="10" w:before="36" w:afterLines="10" w:after="36" w:line="420" w:lineRule="exact"/>
              <w:ind w:leftChars="-21" w:left="-50" w:rightChars="-17" w:right="-41"/>
              <w:jc w:val="center"/>
              <w:rPr>
                <w:rFonts w:ascii="標楷體" w:eastAsia="標楷體" w:hAnsi="標楷體"/>
                <w:sz w:val="28"/>
                <w:szCs w:val="28"/>
              </w:rPr>
            </w:pPr>
            <w:r>
              <w:rPr>
                <w:rFonts w:ascii="標楷體" w:eastAsia="標楷體" w:hAnsi="標楷體" w:hint="eastAsia"/>
                <w:sz w:val="28"/>
                <w:szCs w:val="28"/>
              </w:rPr>
              <w:t>辦理方式</w:t>
            </w:r>
          </w:p>
        </w:tc>
        <w:tc>
          <w:tcPr>
            <w:tcW w:w="2338" w:type="dxa"/>
            <w:shd w:val="clear" w:color="auto" w:fill="FFFFCC"/>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件數</w:t>
            </w:r>
          </w:p>
        </w:tc>
        <w:tc>
          <w:tcPr>
            <w:tcW w:w="3009" w:type="dxa"/>
            <w:shd w:val="clear" w:color="auto" w:fill="FFFFCC"/>
          </w:tcPr>
          <w:p w:rsidR="002511C9" w:rsidRPr="00630066" w:rsidRDefault="002511C9" w:rsidP="002511C9">
            <w:pPr>
              <w:spacing w:beforeLines="10" w:before="36" w:afterLines="10" w:after="36" w:line="420" w:lineRule="exact"/>
              <w:ind w:leftChars="-21" w:left="-50" w:rightChars="-17" w:right="-41"/>
              <w:jc w:val="center"/>
              <w:rPr>
                <w:rFonts w:ascii="標楷體" w:eastAsia="標楷體" w:hAnsi="標楷體"/>
                <w:sz w:val="28"/>
                <w:szCs w:val="28"/>
              </w:rPr>
            </w:pPr>
            <w:r w:rsidRPr="00630066">
              <w:rPr>
                <w:rFonts w:ascii="標楷體" w:eastAsia="標楷體" w:hAnsi="標楷體" w:hint="eastAsia"/>
                <w:sz w:val="28"/>
                <w:szCs w:val="28"/>
              </w:rPr>
              <w:t>占總件數百分比</w:t>
            </w:r>
          </w:p>
        </w:tc>
      </w:tr>
      <w:tr w:rsidR="002511C9" w:rsidTr="002511C9">
        <w:tc>
          <w:tcPr>
            <w:tcW w:w="255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BOT</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5</w:t>
            </w:r>
          </w:p>
        </w:tc>
        <w:tc>
          <w:tcPr>
            <w:tcW w:w="3009" w:type="dxa"/>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16%</w:t>
            </w:r>
          </w:p>
        </w:tc>
      </w:tr>
      <w:tr w:rsidR="002511C9" w:rsidTr="002511C9">
        <w:tc>
          <w:tcPr>
            <w:tcW w:w="255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OT</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20</w:t>
            </w:r>
          </w:p>
        </w:tc>
        <w:tc>
          <w:tcPr>
            <w:tcW w:w="3009" w:type="dxa"/>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63%</w:t>
            </w:r>
          </w:p>
        </w:tc>
      </w:tr>
      <w:tr w:rsidR="002511C9" w:rsidTr="002511C9">
        <w:tc>
          <w:tcPr>
            <w:tcW w:w="255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BOO</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2</w:t>
            </w:r>
          </w:p>
        </w:tc>
        <w:tc>
          <w:tcPr>
            <w:tcW w:w="3009" w:type="dxa"/>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6%</w:t>
            </w:r>
          </w:p>
        </w:tc>
      </w:tr>
      <w:tr w:rsidR="002511C9" w:rsidTr="002511C9">
        <w:tc>
          <w:tcPr>
            <w:tcW w:w="255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ROT</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4</w:t>
            </w:r>
          </w:p>
        </w:tc>
        <w:tc>
          <w:tcPr>
            <w:tcW w:w="3009" w:type="dxa"/>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12%</w:t>
            </w:r>
          </w:p>
        </w:tc>
      </w:tr>
      <w:tr w:rsidR="002511C9" w:rsidTr="002511C9">
        <w:tc>
          <w:tcPr>
            <w:tcW w:w="2558" w:type="dxa"/>
            <w:vAlign w:val="center"/>
          </w:tcPr>
          <w:p w:rsidR="002511C9" w:rsidRPr="00630066" w:rsidRDefault="002511C9" w:rsidP="002511C9">
            <w:pPr>
              <w:spacing w:beforeLines="10" w:before="36" w:afterLines="10" w:after="36" w:line="400" w:lineRule="exact"/>
              <w:ind w:leftChars="-17" w:left="-41" w:rightChars="-15" w:right="-36"/>
              <w:jc w:val="center"/>
              <w:rPr>
                <w:rFonts w:ascii="標楷體" w:eastAsia="標楷體" w:hAnsi="標楷體"/>
                <w:sz w:val="28"/>
                <w:szCs w:val="28"/>
              </w:rPr>
            </w:pPr>
            <w:r w:rsidRPr="00630066">
              <w:rPr>
                <w:rFonts w:ascii="標楷體" w:eastAsia="標楷體" w:hAnsi="標楷體" w:hint="eastAsia"/>
                <w:sz w:val="28"/>
                <w:szCs w:val="28"/>
              </w:rPr>
              <w:t>產業創新條例</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1</w:t>
            </w:r>
          </w:p>
        </w:tc>
        <w:tc>
          <w:tcPr>
            <w:tcW w:w="3009"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3%</w:t>
            </w:r>
          </w:p>
        </w:tc>
      </w:tr>
      <w:tr w:rsidR="002511C9" w:rsidTr="002511C9">
        <w:trPr>
          <w:trHeight w:val="594"/>
        </w:trPr>
        <w:tc>
          <w:tcPr>
            <w:tcW w:w="2558" w:type="dxa"/>
            <w:vAlign w:val="center"/>
          </w:tcPr>
          <w:p w:rsidR="002511C9" w:rsidRPr="00630066" w:rsidRDefault="002511C9" w:rsidP="002511C9">
            <w:pPr>
              <w:spacing w:beforeLines="10" w:before="36" w:afterLines="10" w:after="36" w:line="420" w:lineRule="exact"/>
              <w:ind w:leftChars="-17" w:left="-41" w:rightChars="-15" w:right="-36"/>
              <w:jc w:val="center"/>
              <w:rPr>
                <w:rFonts w:ascii="標楷體" w:eastAsia="標楷體" w:hAnsi="標楷體"/>
                <w:sz w:val="28"/>
                <w:szCs w:val="28"/>
              </w:rPr>
            </w:pPr>
            <w:r w:rsidRPr="00630066">
              <w:rPr>
                <w:rFonts w:ascii="標楷體" w:eastAsia="標楷體" w:hAnsi="標楷體" w:hint="eastAsia"/>
                <w:sz w:val="28"/>
                <w:szCs w:val="28"/>
              </w:rPr>
              <w:t>合計</w:t>
            </w:r>
          </w:p>
        </w:tc>
        <w:tc>
          <w:tcPr>
            <w:tcW w:w="2338"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32</w:t>
            </w:r>
          </w:p>
        </w:tc>
        <w:tc>
          <w:tcPr>
            <w:tcW w:w="3009" w:type="dxa"/>
            <w:vAlign w:val="center"/>
          </w:tcPr>
          <w:p w:rsidR="002511C9" w:rsidRPr="00630066" w:rsidRDefault="002511C9" w:rsidP="002511C9">
            <w:pPr>
              <w:spacing w:beforeLines="10" w:before="36" w:afterLines="10" w:after="36" w:line="420" w:lineRule="exact"/>
              <w:jc w:val="center"/>
              <w:rPr>
                <w:rFonts w:ascii="標楷體" w:eastAsia="標楷體" w:hAnsi="標楷體"/>
                <w:sz w:val="28"/>
                <w:szCs w:val="28"/>
              </w:rPr>
            </w:pPr>
            <w:r w:rsidRPr="00630066">
              <w:rPr>
                <w:rFonts w:ascii="標楷體" w:eastAsia="標楷體" w:hAnsi="標楷體" w:hint="eastAsia"/>
                <w:sz w:val="28"/>
                <w:szCs w:val="28"/>
              </w:rPr>
              <w:t>100%</w:t>
            </w:r>
          </w:p>
        </w:tc>
      </w:tr>
    </w:tbl>
    <w:p w:rsidR="004E67B6" w:rsidRDefault="002511C9" w:rsidP="002511C9">
      <w:pPr>
        <w:spacing w:beforeLines="20" w:before="72" w:line="500" w:lineRule="exact"/>
        <w:ind w:firstLineChars="214" w:firstLine="514"/>
        <w:rPr>
          <w:rFonts w:ascii="標楷體" w:eastAsia="標楷體" w:hAnsi="標楷體"/>
          <w:sz w:val="28"/>
          <w:szCs w:val="32"/>
        </w:rPr>
      </w:pPr>
      <w:r>
        <w:rPr>
          <w:noProof/>
          <w:color w:val="00CC00"/>
        </w:rPr>
        <mc:AlternateContent>
          <mc:Choice Requires="wps">
            <w:drawing>
              <wp:anchor distT="0" distB="0" distL="114300" distR="114300" simplePos="0" relativeHeight="251665408" behindDoc="0" locked="0" layoutInCell="1" allowOverlap="1" wp14:anchorId="0F6C8DF4" wp14:editId="528E7912">
                <wp:simplePos x="0" y="0"/>
                <wp:positionH relativeFrom="column">
                  <wp:posOffset>314944</wp:posOffset>
                </wp:positionH>
                <wp:positionV relativeFrom="paragraph">
                  <wp:posOffset>3404870</wp:posOffset>
                </wp:positionV>
                <wp:extent cx="4476750" cy="3200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4476750" cy="32004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C14708" w:rsidRPr="002511C9" w:rsidRDefault="00C14708" w:rsidP="00C14708">
                            <w:pPr>
                              <w:jc w:val="center"/>
                              <w:rPr>
                                <w:rFonts w:ascii="標楷體" w:eastAsia="標楷體" w:hAnsi="標楷體"/>
                                <w:sz w:val="26"/>
                                <w:szCs w:val="26"/>
                              </w:rPr>
                            </w:pPr>
                            <w:r w:rsidRPr="002511C9">
                              <w:rPr>
                                <w:rFonts w:ascii="標楷體" w:eastAsia="標楷體" w:hAnsi="標楷體" w:hint="eastAsia"/>
                                <w:sz w:val="26"/>
                                <w:szCs w:val="26"/>
                              </w:rPr>
                              <w:t>本府已簽約促參案件數統計圖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4.8pt;margin-top:268.1pt;width:352.5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" filled="f" strokeweight=".5pt">
                <v:stroke opacity="0"/>
                <v:textbox>
                  <w:txbxContent>
                    <w:p w:rsidR="00C14708" w:rsidRPr="002511C9" w:rsidRDefault="00C14708" w:rsidP="00C14708">
                      <w:pPr>
                        <w:jc w:val="center"/>
                        <w:rPr>
                          <w:rFonts w:ascii="標楷體" w:eastAsia="標楷體" w:hAnsi="標楷體"/>
                          <w:sz w:val="26"/>
                          <w:szCs w:val="26"/>
                        </w:rPr>
                      </w:pPr>
                      <w:r w:rsidRPr="002511C9">
                        <w:rPr>
                          <w:rFonts w:ascii="標楷體" w:eastAsia="標楷體" w:hAnsi="標楷體" w:hint="eastAsia"/>
                          <w:sz w:val="26"/>
                          <w:szCs w:val="26"/>
                        </w:rPr>
                        <w:t>本府已簽約促參案件數統計圖</w:t>
                      </w:r>
                    </w:p>
                  </w:txbxContent>
                </v:textbox>
              </v:shape>
            </w:pict>
          </mc:Fallback>
        </mc:AlternateContent>
      </w:r>
    </w:p>
    <w:p w:rsidR="004E67B6" w:rsidRDefault="00DC6B07" w:rsidP="002511C9">
      <w:pPr>
        <w:spacing w:beforeLines="20" w:before="72" w:line="520" w:lineRule="exact"/>
        <w:ind w:firstLineChars="214" w:firstLine="514"/>
        <w:rPr>
          <w:rFonts w:ascii="標楷體" w:eastAsia="標楷體" w:hAnsi="標楷體"/>
          <w:sz w:val="28"/>
          <w:szCs w:val="32"/>
        </w:rPr>
      </w:pPr>
      <w:r>
        <w:rPr>
          <w:noProof/>
          <w:color w:val="00CC00"/>
        </w:rPr>
        <mc:AlternateContent>
          <mc:Choice Requires="wps">
            <w:drawing>
              <wp:anchor distT="0" distB="0" distL="114300" distR="114300" simplePos="0" relativeHeight="251672576" behindDoc="0" locked="0" layoutInCell="1" allowOverlap="1" wp14:anchorId="09F7B4CD" wp14:editId="7EDFDC88">
                <wp:simplePos x="0" y="0"/>
                <wp:positionH relativeFrom="column">
                  <wp:posOffset>-271557</wp:posOffset>
                </wp:positionH>
                <wp:positionV relativeFrom="paragraph">
                  <wp:posOffset>35560</wp:posOffset>
                </wp:positionV>
                <wp:extent cx="593725" cy="29654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59372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9EE" w:rsidRPr="00C0674F" w:rsidRDefault="00B459EE" w:rsidP="00B459EE">
                            <w:pPr>
                              <w:jc w:val="center"/>
                              <w:rPr>
                                <w:rFonts w:ascii="標楷體" w:eastAsia="標楷體" w:hAnsi="標楷體"/>
                                <w:b/>
                                <w:sz w:val="26"/>
                                <w:szCs w:val="26"/>
                              </w:rPr>
                            </w:pPr>
                            <w:r w:rsidRPr="00C0674F">
                              <w:rPr>
                                <w:rFonts w:ascii="標楷體" w:eastAsia="標楷體" w:hAnsi="標楷體" w:hint="eastAsia"/>
                                <w:b/>
                                <w:sz w:val="26"/>
                                <w:szCs w:val="26"/>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27" type="#_x0000_t202" style="position:absolute;left:0;text-align:left;margin-left:-21.4pt;margin-top:2.8pt;width:46.75pt;height:2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" filled="f" stroked="f" strokeweight=".5pt">
                <v:textbox>
                  <w:txbxContent>
                    <w:p w:rsidR="00B459EE" w:rsidRPr="00C0674F" w:rsidRDefault="00B459EE" w:rsidP="00B459EE">
                      <w:pPr>
                        <w:jc w:val="center"/>
                        <w:rPr>
                          <w:rFonts w:ascii="標楷體" w:eastAsia="標楷體" w:hAnsi="標楷體"/>
                          <w:b/>
                          <w:sz w:val="26"/>
                          <w:szCs w:val="26"/>
                        </w:rPr>
                      </w:pPr>
                      <w:r w:rsidRPr="00C0674F">
                        <w:rPr>
                          <w:rFonts w:ascii="標楷體" w:eastAsia="標楷體" w:hAnsi="標楷體" w:hint="eastAsia"/>
                          <w:b/>
                          <w:sz w:val="26"/>
                          <w:szCs w:val="26"/>
                        </w:rPr>
                        <w:t>件</w:t>
                      </w:r>
                    </w:p>
                  </w:txbxContent>
                </v:textbox>
              </v:shape>
            </w:pict>
          </mc:Fallback>
        </mc:AlternateContent>
      </w:r>
      <w:r w:rsidR="002511C9">
        <w:rPr>
          <w:noProof/>
        </w:rPr>
        <w:drawing>
          <wp:anchor distT="0" distB="0" distL="114300" distR="114300" simplePos="0" relativeHeight="251673600" behindDoc="1" locked="0" layoutInCell="1" allowOverlap="1" wp14:anchorId="54FEEABA" wp14:editId="527FC00E">
            <wp:simplePos x="0" y="0"/>
            <wp:positionH relativeFrom="column">
              <wp:posOffset>-216725</wp:posOffset>
            </wp:positionH>
            <wp:positionV relativeFrom="paragraph">
              <wp:posOffset>275409</wp:posOffset>
            </wp:positionV>
            <wp:extent cx="5569528" cy="2743200"/>
            <wp:effectExtent l="0" t="0" r="0" b="0"/>
            <wp:wrapNone/>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511C9" w:rsidRDefault="002511C9" w:rsidP="00E34569">
      <w:pPr>
        <w:spacing w:beforeLines="20" w:before="72" w:line="520" w:lineRule="exact"/>
        <w:ind w:firstLineChars="214" w:firstLine="599"/>
        <w:rPr>
          <w:rFonts w:ascii="標楷體" w:eastAsia="標楷體" w:hAnsi="標楷體"/>
          <w:sz w:val="28"/>
          <w:szCs w:val="32"/>
        </w:rPr>
      </w:pPr>
    </w:p>
    <w:p w:rsidR="002511C9" w:rsidRDefault="002511C9" w:rsidP="00E34569">
      <w:pPr>
        <w:spacing w:beforeLines="20" w:before="72" w:line="520" w:lineRule="exact"/>
        <w:ind w:firstLineChars="214" w:firstLine="599"/>
        <w:rPr>
          <w:rFonts w:ascii="標楷體" w:eastAsia="標楷體" w:hAnsi="標楷體"/>
          <w:sz w:val="28"/>
          <w:szCs w:val="32"/>
        </w:rPr>
      </w:pPr>
    </w:p>
    <w:p w:rsidR="002511C9" w:rsidRDefault="002511C9" w:rsidP="00E34569">
      <w:pPr>
        <w:spacing w:beforeLines="20" w:before="72" w:line="520" w:lineRule="exact"/>
        <w:ind w:firstLineChars="214" w:firstLine="599"/>
        <w:rPr>
          <w:rFonts w:ascii="標楷體" w:eastAsia="標楷體" w:hAnsi="標楷體"/>
          <w:sz w:val="28"/>
          <w:szCs w:val="32"/>
        </w:rPr>
      </w:pPr>
    </w:p>
    <w:p w:rsidR="002511C9" w:rsidRDefault="002511C9" w:rsidP="00E34569">
      <w:pPr>
        <w:spacing w:beforeLines="20" w:before="72" w:line="520" w:lineRule="exact"/>
        <w:ind w:firstLineChars="214" w:firstLine="599"/>
        <w:rPr>
          <w:rFonts w:ascii="標楷體" w:eastAsia="標楷體" w:hAnsi="標楷體"/>
          <w:sz w:val="28"/>
          <w:szCs w:val="32"/>
        </w:rPr>
      </w:pPr>
    </w:p>
    <w:p w:rsidR="002511C9" w:rsidRDefault="002511C9" w:rsidP="00E34569">
      <w:pPr>
        <w:spacing w:beforeLines="20" w:before="72" w:line="520" w:lineRule="exact"/>
        <w:ind w:firstLineChars="214" w:firstLine="599"/>
        <w:rPr>
          <w:rFonts w:ascii="標楷體" w:eastAsia="標楷體" w:hAnsi="標楷體"/>
          <w:sz w:val="28"/>
          <w:szCs w:val="32"/>
        </w:rPr>
      </w:pPr>
    </w:p>
    <w:p w:rsidR="002511C9" w:rsidRPr="00E34569" w:rsidRDefault="002511C9" w:rsidP="00E34569">
      <w:pPr>
        <w:spacing w:beforeLines="20" w:before="72" w:line="520" w:lineRule="exact"/>
        <w:ind w:firstLineChars="214" w:firstLine="599"/>
        <w:rPr>
          <w:rFonts w:ascii="標楷體" w:eastAsia="標楷體" w:hAnsi="標楷體"/>
          <w:sz w:val="28"/>
          <w:szCs w:val="32"/>
        </w:rPr>
      </w:pPr>
    </w:p>
    <w:p w:rsidR="003816B4" w:rsidRDefault="003816B4" w:rsidP="003816B4">
      <w:pPr>
        <w:tabs>
          <w:tab w:val="left" w:pos="2917"/>
        </w:tabs>
        <w:spacing w:beforeLines="20" w:before="72" w:afterLines="10" w:after="36" w:line="440" w:lineRule="exact"/>
        <w:jc w:val="both"/>
        <w:rPr>
          <w:rFonts w:ascii="標楷體" w:eastAsia="標楷體" w:hAnsi="標楷體"/>
          <w:sz w:val="28"/>
          <w:szCs w:val="32"/>
        </w:rPr>
      </w:pPr>
    </w:p>
    <w:p w:rsidR="002208E0" w:rsidRDefault="002208E0" w:rsidP="00B459EE">
      <w:pPr>
        <w:tabs>
          <w:tab w:val="left" w:pos="2917"/>
        </w:tabs>
        <w:spacing w:beforeLines="50" w:before="180" w:afterLines="10" w:after="36" w:line="440" w:lineRule="exact"/>
        <w:ind w:firstLineChars="214" w:firstLine="599"/>
        <w:jc w:val="both"/>
        <w:rPr>
          <w:rFonts w:ascii="標楷體" w:eastAsia="標楷體" w:hAnsi="標楷體"/>
          <w:sz w:val="28"/>
          <w:szCs w:val="32"/>
        </w:rPr>
      </w:pPr>
      <w:r w:rsidRPr="00630066">
        <w:rPr>
          <w:rFonts w:ascii="標楷體" w:eastAsia="標楷體" w:hAnsi="標楷體" w:hint="eastAsia"/>
          <w:sz w:val="28"/>
          <w:szCs w:val="32"/>
        </w:rPr>
        <w:t>依</w:t>
      </w:r>
      <w:r>
        <w:rPr>
          <w:rFonts w:ascii="標楷體" w:eastAsia="標楷體" w:hAnsi="標楷體" w:hint="eastAsia"/>
          <w:sz w:val="28"/>
          <w:szCs w:val="32"/>
        </w:rPr>
        <w:t>統計</w:t>
      </w:r>
      <w:r w:rsidRPr="00630066">
        <w:rPr>
          <w:rFonts w:ascii="標楷體" w:eastAsia="標楷體" w:hAnsi="標楷體" w:hint="eastAsia"/>
          <w:sz w:val="28"/>
          <w:szCs w:val="32"/>
        </w:rPr>
        <w:t>資料所示，就民間參與方式而論，本府各機關辦理之促參案件引進民間參與方式以OT方式辦理之類型計20件，占總簽約件數63%為最多，次以BOT方式辦理之類型計5件，占總簽約案件數16%為第二，再者為以ROT方式辦理之類型計</w:t>
      </w:r>
      <w:r w:rsidR="00616EE1">
        <w:rPr>
          <w:rFonts w:ascii="標楷體" w:eastAsia="標楷體" w:hAnsi="標楷體" w:hint="eastAsia"/>
          <w:sz w:val="28"/>
          <w:szCs w:val="32"/>
        </w:rPr>
        <w:t>4</w:t>
      </w:r>
      <w:r w:rsidRPr="00630066">
        <w:rPr>
          <w:rFonts w:ascii="標楷體" w:eastAsia="標楷體" w:hAnsi="標楷體" w:hint="eastAsia"/>
          <w:sz w:val="28"/>
          <w:szCs w:val="32"/>
        </w:rPr>
        <w:t>件，占總簽約案件數12%為第三。</w:t>
      </w:r>
    </w:p>
    <w:p w:rsidR="00DC6B07" w:rsidRDefault="00DC6B07">
      <w:pPr>
        <w:widowControl/>
        <w:rPr>
          <w:rFonts w:ascii="標楷體" w:eastAsia="標楷體" w:hAnsi="標楷體"/>
          <w:sz w:val="28"/>
          <w:szCs w:val="32"/>
        </w:rPr>
      </w:pPr>
      <w:r>
        <w:rPr>
          <w:rFonts w:ascii="標楷體" w:eastAsia="標楷體" w:hAnsi="標楷體"/>
          <w:sz w:val="28"/>
          <w:szCs w:val="32"/>
        </w:rPr>
        <w:br w:type="page"/>
      </w:r>
    </w:p>
    <w:tbl>
      <w:tblPr>
        <w:tblStyle w:val="a3"/>
        <w:tblpPr w:leftFromText="180" w:rightFromText="180" w:vertAnchor="text" w:horzAnchor="margin" w:tblpY="151"/>
        <w:tblOverlap w:val="never"/>
        <w:tblW w:w="8581" w:type="dxa"/>
        <w:tblLayout w:type="fixed"/>
        <w:tblLook w:val="04A0" w:firstRow="1" w:lastRow="0" w:firstColumn="1" w:lastColumn="0" w:noHBand="0" w:noVBand="1"/>
      </w:tblPr>
      <w:tblGrid>
        <w:gridCol w:w="1494"/>
        <w:gridCol w:w="2898"/>
        <w:gridCol w:w="1064"/>
        <w:gridCol w:w="1091"/>
        <w:gridCol w:w="2034"/>
      </w:tblGrid>
      <w:tr w:rsidR="00DC6B07" w:rsidRPr="00630066" w:rsidTr="00DC6B07">
        <w:trPr>
          <w:trHeight w:val="987"/>
        </w:trPr>
        <w:tc>
          <w:tcPr>
            <w:tcW w:w="8581" w:type="dxa"/>
            <w:gridSpan w:val="5"/>
            <w:vAlign w:val="center"/>
          </w:tcPr>
          <w:p w:rsidR="00DC6B07" w:rsidRDefault="00DC6B07" w:rsidP="00DC6B07">
            <w:pPr>
              <w:spacing w:beforeLines="20" w:before="72" w:afterLines="20" w:after="72" w:line="420" w:lineRule="exact"/>
              <w:ind w:leftChars="-21" w:left="-50" w:rightChars="-17" w:right="-41"/>
              <w:jc w:val="center"/>
              <w:rPr>
                <w:rFonts w:ascii="標楷體" w:eastAsia="標楷體" w:hAnsi="標楷體"/>
                <w:sz w:val="28"/>
                <w:szCs w:val="32"/>
              </w:rPr>
            </w:pPr>
            <w:r w:rsidRPr="00630066">
              <w:rPr>
                <w:rFonts w:ascii="標楷體" w:eastAsia="標楷體" w:hAnsi="標楷體" w:hint="eastAsia"/>
                <w:sz w:val="28"/>
                <w:szCs w:val="32"/>
              </w:rPr>
              <w:t>本府前置作業中促參案件統計表</w:t>
            </w:r>
          </w:p>
          <w:p w:rsidR="00DC6B07" w:rsidRPr="00DC6B07" w:rsidRDefault="00DC6B07" w:rsidP="00DC6B07">
            <w:pPr>
              <w:spacing w:beforeLines="20" w:before="72" w:afterLines="20" w:after="72" w:line="420" w:lineRule="exact"/>
              <w:ind w:leftChars="-21" w:left="-50" w:rightChars="-17" w:right="-41"/>
              <w:jc w:val="right"/>
              <w:rPr>
                <w:rFonts w:ascii="標楷體" w:eastAsia="標楷體" w:hAnsi="標楷體"/>
                <w:sz w:val="28"/>
                <w:szCs w:val="32"/>
              </w:rPr>
            </w:pPr>
            <w:r w:rsidRPr="002511C9">
              <w:rPr>
                <w:rFonts w:ascii="標楷體" w:eastAsia="標楷體" w:hAnsi="標楷體" w:hint="eastAsia"/>
                <w:szCs w:val="28"/>
              </w:rPr>
              <w:t>統計時間：108年9月</w:t>
            </w:r>
          </w:p>
        </w:tc>
      </w:tr>
      <w:tr w:rsidR="00DC6B07" w:rsidRPr="00630066" w:rsidTr="00DC6B07">
        <w:tc>
          <w:tcPr>
            <w:tcW w:w="1494" w:type="dxa"/>
            <w:shd w:val="clear" w:color="auto" w:fill="CCFFCC"/>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辦理方式</w:t>
            </w:r>
          </w:p>
        </w:tc>
        <w:tc>
          <w:tcPr>
            <w:tcW w:w="2898" w:type="dxa"/>
            <w:shd w:val="clear" w:color="auto" w:fill="CCFFCC"/>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公共建設類別</w:t>
            </w:r>
          </w:p>
        </w:tc>
        <w:tc>
          <w:tcPr>
            <w:tcW w:w="1064" w:type="dxa"/>
            <w:shd w:val="clear" w:color="auto" w:fill="CCFFCC"/>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件數</w:t>
            </w:r>
          </w:p>
        </w:tc>
        <w:tc>
          <w:tcPr>
            <w:tcW w:w="1091" w:type="dxa"/>
            <w:shd w:val="clear" w:color="auto" w:fill="CCFFCC"/>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小計</w:t>
            </w:r>
          </w:p>
        </w:tc>
        <w:tc>
          <w:tcPr>
            <w:tcW w:w="2034" w:type="dxa"/>
            <w:shd w:val="clear" w:color="auto" w:fill="CCFFCC"/>
          </w:tcPr>
          <w:p w:rsidR="00DC6B07" w:rsidRPr="00A85B86" w:rsidRDefault="00DC6B07" w:rsidP="00DC6B07">
            <w:pPr>
              <w:spacing w:beforeLines="20" w:before="72" w:afterLines="20" w:after="72" w:line="440" w:lineRule="exact"/>
              <w:ind w:leftChars="-21" w:left="-50" w:rightChars="-17" w:right="-41"/>
              <w:jc w:val="center"/>
              <w:rPr>
                <w:rFonts w:ascii="標楷體" w:eastAsia="標楷體" w:hAnsi="標楷體"/>
                <w:sz w:val="26"/>
                <w:szCs w:val="26"/>
              </w:rPr>
            </w:pPr>
            <w:r w:rsidRPr="00A85B86">
              <w:rPr>
                <w:rFonts w:ascii="標楷體" w:eastAsia="標楷體" w:hAnsi="標楷體" w:hint="eastAsia"/>
                <w:sz w:val="26"/>
                <w:szCs w:val="26"/>
              </w:rPr>
              <w:t>占總件數百分比</w:t>
            </w:r>
          </w:p>
        </w:tc>
      </w:tr>
      <w:tr w:rsidR="00DC6B07" w:rsidRPr="00630066" w:rsidTr="00DC6B07">
        <w:trPr>
          <w:trHeight w:val="637"/>
        </w:trPr>
        <w:tc>
          <w:tcPr>
            <w:tcW w:w="149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有償BTO</w:t>
            </w: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污水下水道及水利設施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203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8%</w:t>
            </w:r>
          </w:p>
        </w:tc>
      </w:tr>
      <w:tr w:rsidR="00DC6B07" w:rsidRPr="00630066" w:rsidTr="00DC6B07">
        <w:tc>
          <w:tcPr>
            <w:tcW w:w="149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OT+BOT</w:t>
            </w: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觀光遊憩設施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203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8%</w:t>
            </w:r>
          </w:p>
        </w:tc>
      </w:tr>
      <w:tr w:rsidR="00DC6B07" w:rsidRPr="00630066" w:rsidTr="00DC6B07">
        <w:trPr>
          <w:trHeight w:val="517"/>
        </w:trPr>
        <w:tc>
          <w:tcPr>
            <w:tcW w:w="1494" w:type="dxa"/>
            <w:vMerge w:val="restart"/>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OT</w:t>
            </w: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文教設施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7</w:t>
            </w:r>
          </w:p>
        </w:tc>
        <w:tc>
          <w:tcPr>
            <w:tcW w:w="1091" w:type="dxa"/>
            <w:vMerge w:val="restart"/>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9</w:t>
            </w:r>
          </w:p>
        </w:tc>
        <w:tc>
          <w:tcPr>
            <w:tcW w:w="2034" w:type="dxa"/>
            <w:vMerge w:val="restart"/>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Pr>
                <w:rFonts w:ascii="標楷體" w:eastAsia="標楷體" w:hAnsi="標楷體" w:hint="eastAsia"/>
                <w:sz w:val="26"/>
                <w:szCs w:val="26"/>
              </w:rPr>
              <w:t>69</w:t>
            </w:r>
            <w:r w:rsidRPr="00A85B86">
              <w:rPr>
                <w:rFonts w:ascii="標楷體" w:eastAsia="標楷體" w:hAnsi="標楷體" w:hint="eastAsia"/>
                <w:sz w:val="26"/>
                <w:szCs w:val="26"/>
              </w:rPr>
              <w:t>%</w:t>
            </w:r>
          </w:p>
        </w:tc>
      </w:tr>
      <w:tr w:rsidR="00DC6B07" w:rsidTr="00DC6B07">
        <w:tc>
          <w:tcPr>
            <w:tcW w:w="1494"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運動設施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c>
          <w:tcPr>
            <w:tcW w:w="2034"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r>
      <w:tr w:rsidR="00DC6B07" w:rsidTr="00DC6B07">
        <w:tc>
          <w:tcPr>
            <w:tcW w:w="1494"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商業設施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c>
          <w:tcPr>
            <w:tcW w:w="2034" w:type="dxa"/>
            <w:vMerge/>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p>
        </w:tc>
      </w:tr>
      <w:tr w:rsidR="00DC6B07" w:rsidTr="00DC6B07">
        <w:tc>
          <w:tcPr>
            <w:tcW w:w="149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ROT+BOT</w:t>
            </w: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運動設施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203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8%</w:t>
            </w:r>
          </w:p>
        </w:tc>
      </w:tr>
      <w:tr w:rsidR="00DC6B07" w:rsidTr="00DC6B07">
        <w:tc>
          <w:tcPr>
            <w:tcW w:w="149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ROT</w:t>
            </w:r>
          </w:p>
        </w:tc>
        <w:tc>
          <w:tcPr>
            <w:tcW w:w="2898"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勞工福利設施</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1091"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w:t>
            </w:r>
          </w:p>
        </w:tc>
        <w:tc>
          <w:tcPr>
            <w:tcW w:w="203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8%</w:t>
            </w:r>
          </w:p>
        </w:tc>
      </w:tr>
      <w:tr w:rsidR="00DC6B07" w:rsidTr="00DC6B07">
        <w:trPr>
          <w:trHeight w:val="558"/>
        </w:trPr>
        <w:tc>
          <w:tcPr>
            <w:tcW w:w="4392" w:type="dxa"/>
            <w:gridSpan w:val="2"/>
            <w:vAlign w:val="center"/>
          </w:tcPr>
          <w:p w:rsidR="00DC6B07" w:rsidRPr="00A85B86" w:rsidRDefault="00DC6B07" w:rsidP="00DC6B07">
            <w:pPr>
              <w:spacing w:beforeLines="20" w:before="72" w:afterLines="20" w:after="72" w:line="440" w:lineRule="exact"/>
              <w:ind w:leftChars="-17" w:left="-41" w:rightChars="-15" w:right="-36"/>
              <w:jc w:val="center"/>
              <w:rPr>
                <w:rFonts w:ascii="標楷體" w:eastAsia="標楷體" w:hAnsi="標楷體"/>
                <w:sz w:val="26"/>
                <w:szCs w:val="26"/>
              </w:rPr>
            </w:pPr>
            <w:r w:rsidRPr="00A85B86">
              <w:rPr>
                <w:rFonts w:ascii="標楷體" w:eastAsia="標楷體" w:hAnsi="標楷體" w:hint="eastAsia"/>
                <w:sz w:val="26"/>
                <w:szCs w:val="26"/>
              </w:rPr>
              <w:t>合計</w:t>
            </w:r>
          </w:p>
        </w:tc>
        <w:tc>
          <w:tcPr>
            <w:tcW w:w="106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13</w:t>
            </w:r>
          </w:p>
        </w:tc>
        <w:tc>
          <w:tcPr>
            <w:tcW w:w="1091"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13</w:t>
            </w:r>
          </w:p>
        </w:tc>
        <w:tc>
          <w:tcPr>
            <w:tcW w:w="2034" w:type="dxa"/>
            <w:vAlign w:val="center"/>
          </w:tcPr>
          <w:p w:rsidR="00DC6B07" w:rsidRPr="00A85B86" w:rsidRDefault="00DC6B07" w:rsidP="00DC6B07">
            <w:pPr>
              <w:spacing w:beforeLines="20" w:before="72" w:afterLines="20" w:after="72" w:line="440" w:lineRule="exact"/>
              <w:jc w:val="center"/>
              <w:rPr>
                <w:rFonts w:ascii="標楷體" w:eastAsia="標楷體" w:hAnsi="標楷體"/>
                <w:sz w:val="26"/>
                <w:szCs w:val="26"/>
              </w:rPr>
            </w:pPr>
            <w:r w:rsidRPr="00A85B86">
              <w:rPr>
                <w:rFonts w:ascii="標楷體" w:eastAsia="標楷體" w:hAnsi="標楷體" w:hint="eastAsia"/>
                <w:sz w:val="26"/>
                <w:szCs w:val="26"/>
              </w:rPr>
              <w:t>100%</w:t>
            </w:r>
          </w:p>
        </w:tc>
      </w:tr>
    </w:tbl>
    <w:p w:rsidR="003278CB" w:rsidRPr="003278CB" w:rsidRDefault="003278CB" w:rsidP="003278CB">
      <w:pPr>
        <w:spacing w:beforeLines="5" w:before="18" w:afterLines="10" w:after="36" w:line="400" w:lineRule="exact"/>
        <w:rPr>
          <w:rFonts w:ascii="標楷體" w:eastAsia="標楷體" w:hAnsi="標楷體"/>
          <w:szCs w:val="32"/>
        </w:rPr>
      </w:pPr>
      <w:r w:rsidRPr="003278CB">
        <w:rPr>
          <w:rFonts w:ascii="標楷體" w:eastAsia="標楷體" w:hAnsi="標楷體" w:hint="eastAsia"/>
          <w:szCs w:val="32"/>
        </w:rPr>
        <w:t>備註：細項總和不等於合計</w:t>
      </w:r>
      <w:r>
        <w:rPr>
          <w:rFonts w:ascii="標楷體" w:eastAsia="標楷體" w:hAnsi="標楷體" w:hint="eastAsia"/>
          <w:szCs w:val="32"/>
        </w:rPr>
        <w:t>係因</w:t>
      </w:r>
      <w:r w:rsidRPr="003278CB">
        <w:rPr>
          <w:rFonts w:ascii="標楷體" w:eastAsia="標楷體" w:hAnsi="標楷體" w:hint="eastAsia"/>
          <w:szCs w:val="32"/>
        </w:rPr>
        <w:t>四捨五入所致。</w:t>
      </w:r>
    </w:p>
    <w:p w:rsidR="00DC6B07" w:rsidRDefault="00DC6B07" w:rsidP="00DC6B07">
      <w:pPr>
        <w:spacing w:beforeLines="50" w:before="180" w:afterLines="10" w:after="36" w:line="440" w:lineRule="exact"/>
        <w:ind w:firstLineChars="214" w:firstLine="599"/>
        <w:jc w:val="both"/>
        <w:rPr>
          <w:rFonts w:ascii="標楷體" w:eastAsia="標楷體" w:hAnsi="標楷體"/>
          <w:sz w:val="28"/>
          <w:szCs w:val="32"/>
        </w:rPr>
      </w:pPr>
      <w:r>
        <w:rPr>
          <w:rFonts w:ascii="標楷體" w:eastAsia="標楷體" w:hAnsi="標楷體" w:hint="eastAsia"/>
          <w:sz w:val="28"/>
          <w:szCs w:val="32"/>
        </w:rPr>
        <w:t>本府</w:t>
      </w:r>
      <w:r w:rsidRPr="00630066">
        <w:rPr>
          <w:rFonts w:ascii="標楷體" w:eastAsia="標楷體" w:hAnsi="標楷體" w:hint="eastAsia"/>
          <w:sz w:val="28"/>
          <w:szCs w:val="32"/>
        </w:rPr>
        <w:t>列管辦理前置作業中之促參案件有本府體育局辦</w:t>
      </w:r>
      <w:r>
        <w:rPr>
          <w:rFonts w:ascii="標楷體" w:eastAsia="標楷體" w:hAnsi="標楷體" w:hint="eastAsia"/>
          <w:sz w:val="28"/>
          <w:szCs w:val="32"/>
        </w:rPr>
        <w:t>理之</w:t>
      </w:r>
      <w:r w:rsidRPr="00630066">
        <w:rPr>
          <w:rFonts w:ascii="標楷體" w:eastAsia="標楷體" w:hAnsi="標楷體" w:hint="eastAsia"/>
          <w:sz w:val="28"/>
          <w:szCs w:val="32"/>
        </w:rPr>
        <w:t>「桃園市八德國民運動中心委託營運案（OT）」等13</w:t>
      </w:r>
      <w:r>
        <w:rPr>
          <w:rFonts w:ascii="標楷體" w:eastAsia="標楷體" w:hAnsi="標楷體" w:hint="eastAsia"/>
          <w:sz w:val="28"/>
          <w:szCs w:val="32"/>
        </w:rPr>
        <w:t>案。</w:t>
      </w:r>
    </w:p>
    <w:p w:rsidR="00DC6B07" w:rsidRDefault="00DC6B07" w:rsidP="00DC6B07">
      <w:pPr>
        <w:spacing w:beforeLines="20" w:before="72" w:afterLines="10" w:after="36" w:line="440" w:lineRule="exact"/>
        <w:ind w:firstLineChars="214" w:firstLine="514"/>
        <w:jc w:val="both"/>
        <w:rPr>
          <w:rFonts w:ascii="標楷體" w:eastAsia="標楷體" w:hAnsi="標楷體"/>
          <w:sz w:val="28"/>
          <w:szCs w:val="32"/>
        </w:rPr>
      </w:pPr>
      <w:r>
        <w:rPr>
          <w:noProof/>
          <w:color w:val="00CC00"/>
        </w:rPr>
        <mc:AlternateContent>
          <mc:Choice Requires="wps">
            <w:drawing>
              <wp:anchor distT="0" distB="0" distL="114300" distR="114300" simplePos="0" relativeHeight="251675648" behindDoc="0" locked="0" layoutInCell="1" allowOverlap="1" wp14:anchorId="0B779EC3" wp14:editId="071261C1">
                <wp:simplePos x="0" y="0"/>
                <wp:positionH relativeFrom="column">
                  <wp:posOffset>372745</wp:posOffset>
                </wp:positionH>
                <wp:positionV relativeFrom="paragraph">
                  <wp:posOffset>152853</wp:posOffset>
                </wp:positionV>
                <wp:extent cx="4476750" cy="30861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4476750" cy="30861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DC6B07" w:rsidRPr="00134621" w:rsidRDefault="00DC6B07" w:rsidP="00DC6B07">
                            <w:pPr>
                              <w:jc w:val="center"/>
                              <w:rPr>
                                <w:rFonts w:ascii="標楷體" w:eastAsia="標楷體" w:hAnsi="標楷體"/>
                                <w:b/>
                                <w:color w:val="002060"/>
                                <w:sz w:val="26"/>
                                <w:szCs w:val="26"/>
                              </w:rPr>
                            </w:pPr>
                            <w:r w:rsidRPr="00134621">
                              <w:rPr>
                                <w:rFonts w:ascii="標楷體" w:eastAsia="標楷體" w:hAnsi="標楷體" w:hint="eastAsia"/>
                                <w:b/>
                                <w:color w:val="002060"/>
                                <w:sz w:val="26"/>
                                <w:szCs w:val="26"/>
                              </w:rPr>
                              <w:t>本府前置作業案件統計圖-按辦理方式分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7" o:spid="_x0000_s1028" type="#_x0000_t202" style="position:absolute;left:0;text-align:left;margin-left:29.35pt;margin-top:12.05pt;width:352.5pt;height:2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" filled="f" strokeweight=".5pt">
                <v:stroke opacity="0"/>
                <v:textbox>
                  <w:txbxContent>
                    <w:p w:rsidR="00DC6B07" w:rsidRPr="00134621" w:rsidRDefault="00DC6B07" w:rsidP="00DC6B07">
                      <w:pPr>
                        <w:jc w:val="center"/>
                        <w:rPr>
                          <w:rFonts w:ascii="標楷體" w:eastAsia="標楷體" w:hAnsi="標楷體"/>
                          <w:b/>
                          <w:color w:val="002060"/>
                          <w:sz w:val="26"/>
                          <w:szCs w:val="26"/>
                        </w:rPr>
                      </w:pPr>
                      <w:r w:rsidRPr="00134621">
                        <w:rPr>
                          <w:rFonts w:ascii="標楷體" w:eastAsia="標楷體" w:hAnsi="標楷體" w:hint="eastAsia"/>
                          <w:b/>
                          <w:color w:val="002060"/>
                          <w:sz w:val="26"/>
                          <w:szCs w:val="26"/>
                        </w:rPr>
                        <w:t>本府前置作業案件統計圖-按辦理方式分</w:t>
                      </w:r>
                    </w:p>
                  </w:txbxContent>
                </v:textbox>
              </v:shape>
            </w:pict>
          </mc:Fallback>
        </mc:AlternateContent>
      </w:r>
    </w:p>
    <w:p w:rsidR="00DC6B07" w:rsidRDefault="00DC6B07" w:rsidP="00DC6B07">
      <w:pPr>
        <w:spacing w:beforeLines="20" w:before="72" w:afterLines="10" w:after="36" w:line="440" w:lineRule="exact"/>
        <w:ind w:firstLineChars="214" w:firstLine="514"/>
        <w:jc w:val="both"/>
        <w:rPr>
          <w:rFonts w:ascii="標楷體" w:eastAsia="標楷體" w:hAnsi="標楷體"/>
          <w:sz w:val="28"/>
          <w:szCs w:val="32"/>
        </w:rPr>
      </w:pPr>
      <w:r>
        <w:rPr>
          <w:noProof/>
        </w:rPr>
        <w:drawing>
          <wp:anchor distT="0" distB="0" distL="114300" distR="114300" simplePos="0" relativeHeight="251659264" behindDoc="1" locked="0" layoutInCell="1" allowOverlap="1" wp14:anchorId="7B0DD74C" wp14:editId="5D098148">
            <wp:simplePos x="0" y="0"/>
            <wp:positionH relativeFrom="column">
              <wp:posOffset>315595</wp:posOffset>
            </wp:positionH>
            <wp:positionV relativeFrom="paragraph">
              <wp:posOffset>217805</wp:posOffset>
            </wp:positionV>
            <wp:extent cx="4417060" cy="2933065"/>
            <wp:effectExtent l="0" t="0" r="2540" b="0"/>
            <wp:wrapSquare wrapText="bothSides"/>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p>
    <w:p w:rsidR="00DC6B07" w:rsidRPr="00DC6B07" w:rsidRDefault="00DC6B07" w:rsidP="00DC6B07">
      <w:pPr>
        <w:spacing w:beforeLines="20" w:before="72" w:afterLines="10" w:after="36" w:line="440" w:lineRule="exact"/>
        <w:ind w:firstLineChars="214" w:firstLine="599"/>
        <w:jc w:val="both"/>
        <w:rPr>
          <w:rFonts w:ascii="標楷體" w:eastAsia="標楷體" w:hAnsi="標楷體"/>
          <w:sz w:val="28"/>
          <w:szCs w:val="32"/>
        </w:rPr>
      </w:pPr>
      <w:r w:rsidRPr="00630066">
        <w:rPr>
          <w:rFonts w:ascii="標楷體" w:eastAsia="標楷體" w:hAnsi="標楷體" w:hint="eastAsia"/>
          <w:sz w:val="28"/>
          <w:szCs w:val="32"/>
        </w:rPr>
        <w:t>依</w:t>
      </w:r>
      <w:r>
        <w:rPr>
          <w:rFonts w:ascii="標楷體" w:eastAsia="標楷體" w:hAnsi="標楷體" w:hint="eastAsia"/>
          <w:sz w:val="28"/>
          <w:szCs w:val="32"/>
        </w:rPr>
        <w:t>統計</w:t>
      </w:r>
      <w:r w:rsidRPr="00630066">
        <w:rPr>
          <w:rFonts w:ascii="標楷體" w:eastAsia="標楷體" w:hAnsi="標楷體" w:hint="eastAsia"/>
          <w:sz w:val="28"/>
          <w:szCs w:val="32"/>
        </w:rPr>
        <w:t>資料所示，</w:t>
      </w:r>
      <w:r>
        <w:rPr>
          <w:rFonts w:ascii="標楷體" w:eastAsia="標楷體" w:hAnsi="標楷體" w:hint="eastAsia"/>
          <w:sz w:val="28"/>
          <w:szCs w:val="32"/>
        </w:rPr>
        <w:t>依</w:t>
      </w:r>
      <w:r w:rsidRPr="00630066">
        <w:rPr>
          <w:rFonts w:ascii="標楷體" w:eastAsia="標楷體" w:hAnsi="標楷體" w:hint="eastAsia"/>
          <w:sz w:val="28"/>
          <w:szCs w:val="32"/>
        </w:rPr>
        <w:t>民間參與方式</w:t>
      </w:r>
      <w:r>
        <w:rPr>
          <w:rFonts w:ascii="標楷體" w:eastAsia="標楷體" w:hAnsi="標楷體" w:hint="eastAsia"/>
          <w:sz w:val="28"/>
          <w:szCs w:val="32"/>
        </w:rPr>
        <w:t>規劃</w:t>
      </w:r>
      <w:r w:rsidRPr="00630066">
        <w:rPr>
          <w:rFonts w:ascii="標楷體" w:eastAsia="標楷體" w:hAnsi="標楷體" w:hint="eastAsia"/>
          <w:sz w:val="28"/>
          <w:szCs w:val="32"/>
        </w:rPr>
        <w:t>而論，本府各機關辦理之</w:t>
      </w:r>
      <w:r>
        <w:rPr>
          <w:rFonts w:ascii="標楷體" w:eastAsia="標楷體" w:hAnsi="標楷體" w:hint="eastAsia"/>
          <w:sz w:val="28"/>
          <w:szCs w:val="32"/>
        </w:rPr>
        <w:t>前置作業中</w:t>
      </w:r>
      <w:r w:rsidRPr="00630066">
        <w:rPr>
          <w:rFonts w:ascii="標楷體" w:eastAsia="標楷體" w:hAnsi="標楷體" w:hint="eastAsia"/>
          <w:sz w:val="28"/>
          <w:szCs w:val="32"/>
        </w:rPr>
        <w:t>促參案件以OT方式辦理之類型計</w:t>
      </w:r>
      <w:r>
        <w:rPr>
          <w:rFonts w:ascii="標楷體" w:eastAsia="標楷體" w:hAnsi="標楷體" w:hint="eastAsia"/>
          <w:sz w:val="28"/>
          <w:szCs w:val="32"/>
        </w:rPr>
        <w:t>9</w:t>
      </w:r>
      <w:r w:rsidRPr="00630066">
        <w:rPr>
          <w:rFonts w:ascii="標楷體" w:eastAsia="標楷體" w:hAnsi="標楷體" w:hint="eastAsia"/>
          <w:sz w:val="28"/>
          <w:szCs w:val="32"/>
        </w:rPr>
        <w:t>件，</w:t>
      </w:r>
      <w:r>
        <w:rPr>
          <w:rFonts w:ascii="標楷體" w:eastAsia="標楷體" w:hAnsi="標楷體" w:hint="eastAsia"/>
          <w:sz w:val="28"/>
          <w:szCs w:val="32"/>
        </w:rPr>
        <w:t>其中有文教、運動及商業等公共建設類別，占</w:t>
      </w:r>
      <w:r w:rsidRPr="00630066">
        <w:rPr>
          <w:rFonts w:ascii="標楷體" w:eastAsia="標楷體" w:hAnsi="標楷體" w:hint="eastAsia"/>
          <w:sz w:val="28"/>
          <w:szCs w:val="32"/>
        </w:rPr>
        <w:t>總</w:t>
      </w:r>
      <w:r>
        <w:rPr>
          <w:rFonts w:ascii="標楷體" w:eastAsia="標楷體" w:hAnsi="標楷體" w:hint="eastAsia"/>
          <w:sz w:val="28"/>
          <w:szCs w:val="32"/>
        </w:rPr>
        <w:t>前置作業中</w:t>
      </w:r>
      <w:r w:rsidRPr="00630066">
        <w:rPr>
          <w:rFonts w:ascii="標楷體" w:eastAsia="標楷體" w:hAnsi="標楷體" w:hint="eastAsia"/>
          <w:sz w:val="28"/>
          <w:szCs w:val="32"/>
        </w:rPr>
        <w:t>件數6</w:t>
      </w:r>
      <w:r>
        <w:rPr>
          <w:rFonts w:ascii="標楷體" w:eastAsia="標楷體" w:hAnsi="標楷體" w:hint="eastAsia"/>
          <w:sz w:val="28"/>
          <w:szCs w:val="32"/>
        </w:rPr>
        <w:t>9</w:t>
      </w:r>
      <w:r w:rsidRPr="00630066">
        <w:rPr>
          <w:rFonts w:ascii="標楷體" w:eastAsia="標楷體" w:hAnsi="標楷體" w:hint="eastAsia"/>
          <w:sz w:val="28"/>
          <w:szCs w:val="32"/>
        </w:rPr>
        <w:t>%為最多，再者</w:t>
      </w:r>
      <w:r>
        <w:rPr>
          <w:rFonts w:ascii="標楷體" w:eastAsia="標楷體" w:hAnsi="標楷體" w:hint="eastAsia"/>
          <w:sz w:val="28"/>
          <w:szCs w:val="32"/>
        </w:rPr>
        <w:t>有</w:t>
      </w:r>
      <w:r w:rsidRPr="00630066">
        <w:rPr>
          <w:rFonts w:ascii="標楷體" w:eastAsia="標楷體" w:hAnsi="標楷體" w:hint="eastAsia"/>
          <w:sz w:val="28"/>
          <w:szCs w:val="32"/>
        </w:rPr>
        <w:t>以</w:t>
      </w:r>
      <w:r>
        <w:rPr>
          <w:rFonts w:ascii="標楷體" w:eastAsia="標楷體" w:hAnsi="標楷體" w:hint="eastAsia"/>
          <w:sz w:val="28"/>
          <w:szCs w:val="32"/>
        </w:rPr>
        <w:t>有償BTO、</w:t>
      </w:r>
      <w:r w:rsidRPr="00630066">
        <w:rPr>
          <w:rFonts w:ascii="標楷體" w:eastAsia="標楷體" w:hAnsi="標楷體" w:hint="eastAsia"/>
          <w:sz w:val="28"/>
          <w:szCs w:val="32"/>
        </w:rPr>
        <w:t>R</w:t>
      </w:r>
      <w:r>
        <w:rPr>
          <w:rFonts w:ascii="標楷體" w:eastAsia="標楷體" w:hAnsi="標楷體" w:hint="eastAsia"/>
          <w:sz w:val="28"/>
          <w:szCs w:val="32"/>
        </w:rPr>
        <w:t>OT或以OT+BOT或ROT+BOT等規劃</w:t>
      </w:r>
      <w:r w:rsidRPr="00630066">
        <w:rPr>
          <w:rFonts w:ascii="標楷體" w:eastAsia="標楷體" w:hAnsi="標楷體" w:hint="eastAsia"/>
          <w:sz w:val="28"/>
          <w:szCs w:val="32"/>
        </w:rPr>
        <w:t>方式辦理之</w:t>
      </w:r>
      <w:r>
        <w:rPr>
          <w:rFonts w:ascii="標楷體" w:eastAsia="標楷體" w:hAnsi="標楷體" w:hint="eastAsia"/>
          <w:sz w:val="28"/>
          <w:szCs w:val="32"/>
        </w:rPr>
        <w:t>件數</w:t>
      </w:r>
      <w:r w:rsidRPr="00630066">
        <w:rPr>
          <w:rFonts w:ascii="標楷體" w:eastAsia="標楷體" w:hAnsi="標楷體" w:hint="eastAsia"/>
          <w:sz w:val="28"/>
          <w:szCs w:val="32"/>
        </w:rPr>
        <w:t>計</w:t>
      </w:r>
      <w:r>
        <w:rPr>
          <w:rFonts w:ascii="標楷體" w:eastAsia="標楷體" w:hAnsi="標楷體" w:hint="eastAsia"/>
          <w:sz w:val="28"/>
          <w:szCs w:val="32"/>
        </w:rPr>
        <w:t>4</w:t>
      </w:r>
      <w:r w:rsidRPr="00630066">
        <w:rPr>
          <w:rFonts w:ascii="標楷體" w:eastAsia="標楷體" w:hAnsi="標楷體" w:hint="eastAsia"/>
          <w:sz w:val="28"/>
          <w:szCs w:val="32"/>
        </w:rPr>
        <w:t>件，</w:t>
      </w:r>
      <w:r>
        <w:rPr>
          <w:rFonts w:ascii="標楷體" w:eastAsia="標楷體" w:hAnsi="標楷體" w:hint="eastAsia"/>
          <w:sz w:val="28"/>
          <w:szCs w:val="32"/>
        </w:rPr>
        <w:t>共</w:t>
      </w:r>
      <w:r w:rsidRPr="00630066">
        <w:rPr>
          <w:rFonts w:ascii="標楷體" w:eastAsia="標楷體" w:hAnsi="標楷體" w:hint="eastAsia"/>
          <w:sz w:val="28"/>
          <w:szCs w:val="32"/>
        </w:rPr>
        <w:t>占總</w:t>
      </w:r>
      <w:r>
        <w:rPr>
          <w:rFonts w:ascii="標楷體" w:eastAsia="標楷體" w:hAnsi="標楷體" w:hint="eastAsia"/>
          <w:sz w:val="28"/>
          <w:szCs w:val="32"/>
        </w:rPr>
        <w:t>前置作業中</w:t>
      </w:r>
      <w:r w:rsidRPr="00630066">
        <w:rPr>
          <w:rFonts w:ascii="標楷體" w:eastAsia="標楷體" w:hAnsi="標楷體" w:hint="eastAsia"/>
          <w:sz w:val="28"/>
          <w:szCs w:val="32"/>
        </w:rPr>
        <w:t>件數</w:t>
      </w:r>
      <w:r>
        <w:rPr>
          <w:rFonts w:ascii="標楷體" w:eastAsia="標楷體" w:hAnsi="標楷體" w:hint="eastAsia"/>
          <w:sz w:val="28"/>
          <w:szCs w:val="32"/>
        </w:rPr>
        <w:t>32</w:t>
      </w:r>
      <w:r w:rsidRPr="00630066">
        <w:rPr>
          <w:rFonts w:ascii="標楷體" w:eastAsia="標楷體" w:hAnsi="標楷體" w:hint="eastAsia"/>
          <w:sz w:val="28"/>
          <w:szCs w:val="32"/>
        </w:rPr>
        <w:t>%。</w:t>
      </w:r>
    </w:p>
    <w:p w:rsidR="008305E0" w:rsidRDefault="00134621" w:rsidP="00134621">
      <w:pPr>
        <w:spacing w:beforeLines="20" w:before="72" w:line="500" w:lineRule="exact"/>
        <w:ind w:firstLineChars="214" w:firstLine="514"/>
        <w:rPr>
          <w:rFonts w:ascii="標楷體" w:eastAsia="標楷體" w:hAnsi="標楷體"/>
          <w:sz w:val="32"/>
          <w:szCs w:val="32"/>
        </w:rPr>
      </w:pPr>
      <w:r w:rsidRPr="0048770D">
        <w:rPr>
          <w:noProof/>
          <w:color w:val="00CC00"/>
        </w:rPr>
        <w:drawing>
          <wp:anchor distT="0" distB="0" distL="114300" distR="114300" simplePos="0" relativeHeight="251660288" behindDoc="1" locked="0" layoutInCell="1" allowOverlap="1" wp14:anchorId="722DD2C2" wp14:editId="62FB3EEE">
            <wp:simplePos x="0" y="0"/>
            <wp:positionH relativeFrom="column">
              <wp:posOffset>-74295</wp:posOffset>
            </wp:positionH>
            <wp:positionV relativeFrom="paragraph">
              <wp:posOffset>111760</wp:posOffset>
            </wp:positionV>
            <wp:extent cx="5747385" cy="4333875"/>
            <wp:effectExtent l="0" t="0" r="5715" b="0"/>
            <wp:wrapThrough wrapText="bothSides">
              <wp:wrapPolygon edited="0">
                <wp:start x="286" y="2089"/>
                <wp:lineTo x="215" y="2848"/>
                <wp:lineTo x="5441" y="3513"/>
                <wp:lineTo x="10811" y="3798"/>
                <wp:lineTo x="11598" y="5317"/>
                <wp:lineTo x="215" y="5317"/>
                <wp:lineTo x="215" y="5982"/>
                <wp:lineTo x="10811" y="6836"/>
                <wp:lineTo x="10882" y="8355"/>
                <wp:lineTo x="215" y="8450"/>
                <wp:lineTo x="215" y="9115"/>
                <wp:lineTo x="10811" y="9874"/>
                <wp:lineTo x="10811" y="11393"/>
                <wp:lineTo x="215" y="11583"/>
                <wp:lineTo x="215" y="12913"/>
                <wp:lineTo x="9307" y="12913"/>
                <wp:lineTo x="4439" y="13482"/>
                <wp:lineTo x="4439" y="14242"/>
                <wp:lineTo x="573" y="14716"/>
                <wp:lineTo x="430" y="15286"/>
                <wp:lineTo x="1861" y="15951"/>
                <wp:lineTo x="1647" y="16425"/>
                <wp:lineTo x="2005" y="16805"/>
                <wp:lineTo x="3508" y="17470"/>
                <wp:lineTo x="3508" y="17755"/>
                <wp:lineTo x="4797" y="18989"/>
                <wp:lineTo x="5083" y="18989"/>
                <wp:lineTo x="4367" y="19844"/>
                <wp:lineTo x="4367" y="20223"/>
                <wp:lineTo x="5012" y="20793"/>
                <wp:lineTo x="5083" y="21458"/>
                <wp:lineTo x="5370" y="21458"/>
                <wp:lineTo x="21550" y="21078"/>
                <wp:lineTo x="21550" y="20888"/>
                <wp:lineTo x="5370" y="20508"/>
                <wp:lineTo x="11741" y="20508"/>
                <wp:lineTo x="18543" y="19749"/>
                <wp:lineTo x="18471" y="18989"/>
                <wp:lineTo x="21550" y="17945"/>
                <wp:lineTo x="21550" y="17755"/>
                <wp:lineTo x="19903" y="17280"/>
                <wp:lineTo x="20476" y="16236"/>
                <wp:lineTo x="20333" y="15951"/>
                <wp:lineTo x="21550" y="14811"/>
                <wp:lineTo x="21407" y="14716"/>
                <wp:lineTo x="21120" y="14337"/>
                <wp:lineTo x="21120" y="13577"/>
                <wp:lineTo x="9952" y="12913"/>
                <wp:lineTo x="10739" y="11393"/>
                <wp:lineTo x="10811" y="8355"/>
                <wp:lineTo x="14247" y="8165"/>
                <wp:lineTo x="14247" y="7501"/>
                <wp:lineTo x="10811" y="6836"/>
                <wp:lineTo x="10882" y="6836"/>
                <wp:lineTo x="12314" y="5032"/>
                <wp:lineTo x="12028" y="4652"/>
                <wp:lineTo x="10739" y="3798"/>
                <wp:lineTo x="859" y="2089"/>
                <wp:lineTo x="286" y="2089"/>
              </wp:wrapPolygon>
            </wp:wrapThrough>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color w:val="00CC00"/>
        </w:rPr>
        <mc:AlternateContent>
          <mc:Choice Requires="wps">
            <w:drawing>
              <wp:anchor distT="0" distB="0" distL="114300" distR="114300" simplePos="0" relativeHeight="251669504" behindDoc="0" locked="0" layoutInCell="1" allowOverlap="1" wp14:anchorId="3F2FF772" wp14:editId="2E3496FF">
                <wp:simplePos x="0" y="0"/>
                <wp:positionH relativeFrom="column">
                  <wp:posOffset>366395</wp:posOffset>
                </wp:positionH>
                <wp:positionV relativeFrom="paragraph">
                  <wp:posOffset>111760</wp:posOffset>
                </wp:positionV>
                <wp:extent cx="4380865" cy="53340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4380865" cy="53340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C0674F" w:rsidRPr="00134621" w:rsidRDefault="00C0674F" w:rsidP="00C0674F">
                            <w:pPr>
                              <w:jc w:val="center"/>
                              <w:rPr>
                                <w:rFonts w:ascii="標楷體" w:eastAsia="標楷體" w:hAnsi="標楷體"/>
                                <w:b/>
                                <w:sz w:val="28"/>
                                <w:szCs w:val="26"/>
                              </w:rPr>
                            </w:pPr>
                            <w:r w:rsidRPr="00134621">
                              <w:rPr>
                                <w:rFonts w:ascii="標楷體" w:eastAsia="標楷體" w:hAnsi="標楷體" w:hint="eastAsia"/>
                                <w:b/>
                                <w:sz w:val="28"/>
                                <w:szCs w:val="26"/>
                              </w:rPr>
                              <w:t>本府已簽約及前置作業促參案件數統計圖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9" type="#_x0000_t202" style="position:absolute;left:0;text-align:left;margin-left:28.85pt;margin-top:8.8pt;width:344.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" filled="f" strokeweight=".5pt">
                <v:stroke opacity="0"/>
                <v:textbox>
                  <w:txbxContent>
                    <w:p w:rsidR="00C0674F" w:rsidRPr="00134621" w:rsidRDefault="00C0674F" w:rsidP="00C0674F">
                      <w:pPr>
                        <w:jc w:val="center"/>
                        <w:rPr>
                          <w:rFonts w:ascii="標楷體" w:eastAsia="標楷體" w:hAnsi="標楷體"/>
                          <w:b/>
                          <w:sz w:val="28"/>
                          <w:szCs w:val="26"/>
                        </w:rPr>
                      </w:pPr>
                      <w:r w:rsidRPr="00134621">
                        <w:rPr>
                          <w:rFonts w:ascii="標楷體" w:eastAsia="標楷體" w:hAnsi="標楷體" w:hint="eastAsia"/>
                          <w:b/>
                          <w:sz w:val="28"/>
                          <w:szCs w:val="26"/>
                        </w:rPr>
                        <w:t>本府已簽約及前置作業促參案件數統計圖</w:t>
                      </w:r>
                    </w:p>
                  </w:txbxContent>
                </v:textbox>
              </v:shape>
            </w:pict>
          </mc:Fallback>
        </mc:AlternateContent>
      </w:r>
      <w:r w:rsidR="00E372C6">
        <w:rPr>
          <w:noProof/>
          <w:color w:val="00CC00"/>
        </w:rPr>
        <mc:AlternateContent>
          <mc:Choice Requires="wps">
            <w:drawing>
              <wp:anchor distT="0" distB="0" distL="114300" distR="114300" simplePos="0" relativeHeight="251670528" behindDoc="0" locked="0" layoutInCell="1" allowOverlap="1" wp14:anchorId="32919286" wp14:editId="15AEE903">
                <wp:simplePos x="0" y="0"/>
                <wp:positionH relativeFrom="column">
                  <wp:posOffset>-326390</wp:posOffset>
                </wp:positionH>
                <wp:positionV relativeFrom="paragraph">
                  <wp:posOffset>252598</wp:posOffset>
                </wp:positionV>
                <wp:extent cx="593725" cy="29654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59372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74F" w:rsidRPr="00134621" w:rsidRDefault="00C0674F" w:rsidP="00C0674F">
                            <w:pPr>
                              <w:jc w:val="center"/>
                              <w:rPr>
                                <w:rFonts w:ascii="標楷體" w:eastAsia="標楷體" w:hAnsi="標楷體"/>
                                <w:sz w:val="26"/>
                                <w:szCs w:val="26"/>
                              </w:rPr>
                            </w:pPr>
                            <w:r w:rsidRPr="00134621">
                              <w:rPr>
                                <w:rFonts w:ascii="標楷體" w:eastAsia="標楷體" w:hAnsi="標楷體" w:hint="eastAsia"/>
                                <w:sz w:val="26"/>
                                <w:szCs w:val="26"/>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9" o:spid="_x0000_s1030" type="#_x0000_t202" style="position:absolute;left:0;text-align:left;margin-left:-25.7pt;margin-top:19.9pt;width:46.75pt;height:23.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" filled="f" stroked="f" strokeweight=".5pt">
                <v:textbox>
                  <w:txbxContent>
                    <w:p w:rsidR="00C0674F" w:rsidRPr="00134621" w:rsidRDefault="00C0674F" w:rsidP="00C0674F">
                      <w:pPr>
                        <w:jc w:val="center"/>
                        <w:rPr>
                          <w:rFonts w:ascii="標楷體" w:eastAsia="標楷體" w:hAnsi="標楷體"/>
                          <w:sz w:val="26"/>
                          <w:szCs w:val="26"/>
                        </w:rPr>
                      </w:pPr>
                      <w:r w:rsidRPr="00134621">
                        <w:rPr>
                          <w:rFonts w:ascii="標楷體" w:eastAsia="標楷體" w:hAnsi="標楷體" w:hint="eastAsia"/>
                          <w:sz w:val="26"/>
                          <w:szCs w:val="26"/>
                        </w:rPr>
                        <w:t>件</w:t>
                      </w:r>
                    </w:p>
                  </w:txbxContent>
                </v:textbox>
              </v:shape>
            </w:pict>
          </mc:Fallback>
        </mc:AlternateContent>
      </w:r>
    </w:p>
    <w:p w:rsidR="008305E0" w:rsidRDefault="008305E0" w:rsidP="008305E0">
      <w:pPr>
        <w:spacing w:beforeLines="20" w:before="72" w:line="500" w:lineRule="exact"/>
        <w:ind w:firstLineChars="214" w:firstLine="685"/>
        <w:rPr>
          <w:rFonts w:ascii="標楷體" w:eastAsia="標楷體" w:hAnsi="標楷體"/>
          <w:sz w:val="32"/>
          <w:szCs w:val="32"/>
        </w:rPr>
      </w:pPr>
    </w:p>
    <w:p w:rsidR="008305E0" w:rsidRDefault="008305E0" w:rsidP="008305E0">
      <w:pPr>
        <w:spacing w:beforeLines="20" w:before="72" w:line="500" w:lineRule="exact"/>
        <w:ind w:firstLineChars="214" w:firstLine="685"/>
        <w:rPr>
          <w:rFonts w:ascii="標楷體" w:eastAsia="標楷體" w:hAnsi="標楷體"/>
          <w:sz w:val="32"/>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134621" w:rsidRDefault="00134621" w:rsidP="00B459EE">
      <w:pPr>
        <w:spacing w:beforeLines="50" w:before="180" w:afterLines="10" w:after="36" w:line="420" w:lineRule="exact"/>
        <w:ind w:firstLineChars="214" w:firstLine="599"/>
        <w:jc w:val="both"/>
        <w:rPr>
          <w:rFonts w:ascii="標楷體" w:eastAsia="標楷體" w:hAnsi="標楷體"/>
          <w:sz w:val="28"/>
          <w:szCs w:val="32"/>
        </w:rPr>
      </w:pPr>
    </w:p>
    <w:p w:rsidR="008305E0" w:rsidRPr="0048770D" w:rsidRDefault="008305E0" w:rsidP="00B459EE">
      <w:pPr>
        <w:spacing w:beforeLines="50" w:before="180" w:afterLines="10" w:after="36" w:line="420" w:lineRule="exact"/>
        <w:ind w:firstLineChars="214" w:firstLine="599"/>
        <w:jc w:val="both"/>
        <w:rPr>
          <w:rFonts w:ascii="標楷體" w:eastAsia="標楷體" w:hAnsi="標楷體"/>
          <w:sz w:val="28"/>
          <w:szCs w:val="32"/>
        </w:rPr>
      </w:pPr>
      <w:r w:rsidRPr="0048770D">
        <w:rPr>
          <w:rFonts w:ascii="標楷體" w:eastAsia="標楷體" w:hAnsi="標楷體" w:hint="eastAsia"/>
          <w:sz w:val="28"/>
          <w:szCs w:val="32"/>
        </w:rPr>
        <w:t>目前本府各機關辦理之已簽約及前置作業中促參案件數達45件，其中已簽約促參案件引進民間投資金額共計516億餘元，節省不少市庫支出及人力管理成本。</w:t>
      </w:r>
    </w:p>
    <w:p w:rsidR="008A5530" w:rsidRPr="0048770D" w:rsidRDefault="008305E0" w:rsidP="00B459EE">
      <w:pPr>
        <w:spacing w:beforeLines="20" w:before="72" w:afterLines="10" w:after="36" w:line="420" w:lineRule="exact"/>
        <w:ind w:firstLineChars="214" w:firstLine="599"/>
        <w:jc w:val="both"/>
        <w:rPr>
          <w:rFonts w:ascii="標楷體" w:eastAsia="標楷體" w:hAnsi="標楷體"/>
          <w:sz w:val="28"/>
          <w:szCs w:val="32"/>
        </w:rPr>
      </w:pPr>
      <w:r w:rsidRPr="0048770D">
        <w:rPr>
          <w:rFonts w:ascii="標楷體" w:eastAsia="標楷體" w:hAnsi="標楷體" w:hint="eastAsia"/>
          <w:sz w:val="28"/>
          <w:szCs w:val="32"/>
        </w:rPr>
        <w:t>為賡續推動各項公共建設，引進企業經營理念，貫徹開源節流的政策，同時積極導入民間參與更多的公共建設，以提供民眾優質服務，並提升公有財產使用效益。</w:t>
      </w:r>
    </w:p>
    <w:sectPr w:rsidR="008A5530" w:rsidRPr="0048770D">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6C" w:rsidRDefault="002D086C" w:rsidP="00355E3C">
      <w:r>
        <w:separator/>
      </w:r>
    </w:p>
  </w:endnote>
  <w:endnote w:type="continuationSeparator" w:id="0">
    <w:p w:rsidR="002D086C" w:rsidRDefault="002D086C" w:rsidP="0035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12773"/>
      <w:docPartObj>
        <w:docPartGallery w:val="Page Numbers (Bottom of Page)"/>
        <w:docPartUnique/>
      </w:docPartObj>
    </w:sdtPr>
    <w:sdtEndPr/>
    <w:sdtContent>
      <w:p w:rsidR="00355E3C" w:rsidRDefault="00355E3C">
        <w:pPr>
          <w:pStyle w:val="a8"/>
          <w:jc w:val="center"/>
        </w:pPr>
        <w:r>
          <w:fldChar w:fldCharType="begin"/>
        </w:r>
        <w:r>
          <w:instrText>PAGE   \* MERGEFORMAT</w:instrText>
        </w:r>
        <w:r>
          <w:fldChar w:fldCharType="separate"/>
        </w:r>
        <w:r w:rsidR="002D086C" w:rsidRPr="002D086C">
          <w:rPr>
            <w:noProof/>
            <w:lang w:val="zh-TW"/>
          </w:rPr>
          <w:t>1</w:t>
        </w:r>
        <w:r>
          <w:fldChar w:fldCharType="end"/>
        </w:r>
      </w:p>
    </w:sdtContent>
  </w:sdt>
  <w:p w:rsidR="00355E3C" w:rsidRDefault="00355E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6C" w:rsidRDefault="002D086C" w:rsidP="00355E3C">
      <w:r>
        <w:separator/>
      </w:r>
    </w:p>
  </w:footnote>
  <w:footnote w:type="continuationSeparator" w:id="0">
    <w:p w:rsidR="002D086C" w:rsidRDefault="002D086C" w:rsidP="0035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508F"/>
    <w:multiLevelType w:val="hybridMultilevel"/>
    <w:tmpl w:val="6FD0F50E"/>
    <w:lvl w:ilvl="0" w:tplc="AD589484">
      <w:start w:val="1"/>
      <w:numFmt w:val="bullet"/>
      <w:lvlText w:val=""/>
      <w:lvlJc w:val="left"/>
      <w:pPr>
        <w:tabs>
          <w:tab w:val="num" w:pos="720"/>
        </w:tabs>
        <w:ind w:left="720" w:hanging="360"/>
      </w:pPr>
      <w:rPr>
        <w:rFonts w:ascii="Wingdings 3" w:hAnsi="Wingdings 3" w:hint="default"/>
      </w:rPr>
    </w:lvl>
    <w:lvl w:ilvl="1" w:tplc="FF3C2598" w:tentative="1">
      <w:start w:val="1"/>
      <w:numFmt w:val="bullet"/>
      <w:lvlText w:val=""/>
      <w:lvlJc w:val="left"/>
      <w:pPr>
        <w:tabs>
          <w:tab w:val="num" w:pos="1440"/>
        </w:tabs>
        <w:ind w:left="1440" w:hanging="360"/>
      </w:pPr>
      <w:rPr>
        <w:rFonts w:ascii="Wingdings 3" w:hAnsi="Wingdings 3" w:hint="default"/>
      </w:rPr>
    </w:lvl>
    <w:lvl w:ilvl="2" w:tplc="7D8605E4" w:tentative="1">
      <w:start w:val="1"/>
      <w:numFmt w:val="bullet"/>
      <w:lvlText w:val=""/>
      <w:lvlJc w:val="left"/>
      <w:pPr>
        <w:tabs>
          <w:tab w:val="num" w:pos="2160"/>
        </w:tabs>
        <w:ind w:left="2160" w:hanging="360"/>
      </w:pPr>
      <w:rPr>
        <w:rFonts w:ascii="Wingdings 3" w:hAnsi="Wingdings 3" w:hint="default"/>
      </w:rPr>
    </w:lvl>
    <w:lvl w:ilvl="3" w:tplc="437C65D2" w:tentative="1">
      <w:start w:val="1"/>
      <w:numFmt w:val="bullet"/>
      <w:lvlText w:val=""/>
      <w:lvlJc w:val="left"/>
      <w:pPr>
        <w:tabs>
          <w:tab w:val="num" w:pos="2880"/>
        </w:tabs>
        <w:ind w:left="2880" w:hanging="360"/>
      </w:pPr>
      <w:rPr>
        <w:rFonts w:ascii="Wingdings 3" w:hAnsi="Wingdings 3" w:hint="default"/>
      </w:rPr>
    </w:lvl>
    <w:lvl w:ilvl="4" w:tplc="9B26A338" w:tentative="1">
      <w:start w:val="1"/>
      <w:numFmt w:val="bullet"/>
      <w:lvlText w:val=""/>
      <w:lvlJc w:val="left"/>
      <w:pPr>
        <w:tabs>
          <w:tab w:val="num" w:pos="3600"/>
        </w:tabs>
        <w:ind w:left="3600" w:hanging="360"/>
      </w:pPr>
      <w:rPr>
        <w:rFonts w:ascii="Wingdings 3" w:hAnsi="Wingdings 3" w:hint="default"/>
      </w:rPr>
    </w:lvl>
    <w:lvl w:ilvl="5" w:tplc="3DDA2EBE" w:tentative="1">
      <w:start w:val="1"/>
      <w:numFmt w:val="bullet"/>
      <w:lvlText w:val=""/>
      <w:lvlJc w:val="left"/>
      <w:pPr>
        <w:tabs>
          <w:tab w:val="num" w:pos="4320"/>
        </w:tabs>
        <w:ind w:left="4320" w:hanging="360"/>
      </w:pPr>
      <w:rPr>
        <w:rFonts w:ascii="Wingdings 3" w:hAnsi="Wingdings 3" w:hint="default"/>
      </w:rPr>
    </w:lvl>
    <w:lvl w:ilvl="6" w:tplc="B25E5E5A" w:tentative="1">
      <w:start w:val="1"/>
      <w:numFmt w:val="bullet"/>
      <w:lvlText w:val=""/>
      <w:lvlJc w:val="left"/>
      <w:pPr>
        <w:tabs>
          <w:tab w:val="num" w:pos="5040"/>
        </w:tabs>
        <w:ind w:left="5040" w:hanging="360"/>
      </w:pPr>
      <w:rPr>
        <w:rFonts w:ascii="Wingdings 3" w:hAnsi="Wingdings 3" w:hint="default"/>
      </w:rPr>
    </w:lvl>
    <w:lvl w:ilvl="7" w:tplc="372E4400" w:tentative="1">
      <w:start w:val="1"/>
      <w:numFmt w:val="bullet"/>
      <w:lvlText w:val=""/>
      <w:lvlJc w:val="left"/>
      <w:pPr>
        <w:tabs>
          <w:tab w:val="num" w:pos="5760"/>
        </w:tabs>
        <w:ind w:left="5760" w:hanging="360"/>
      </w:pPr>
      <w:rPr>
        <w:rFonts w:ascii="Wingdings 3" w:hAnsi="Wingdings 3" w:hint="default"/>
      </w:rPr>
    </w:lvl>
    <w:lvl w:ilvl="8" w:tplc="0C94E672" w:tentative="1">
      <w:start w:val="1"/>
      <w:numFmt w:val="bullet"/>
      <w:lvlText w:val=""/>
      <w:lvlJc w:val="left"/>
      <w:pPr>
        <w:tabs>
          <w:tab w:val="num" w:pos="6480"/>
        </w:tabs>
        <w:ind w:left="6480" w:hanging="360"/>
      </w:pPr>
      <w:rPr>
        <w:rFonts w:ascii="Wingdings 3" w:hAnsi="Wingdings 3" w:hint="default"/>
      </w:rPr>
    </w:lvl>
  </w:abstractNum>
  <w:abstractNum w:abstractNumId="1">
    <w:nsid w:val="4CDE1C40"/>
    <w:multiLevelType w:val="hybridMultilevel"/>
    <w:tmpl w:val="BACCDE44"/>
    <w:lvl w:ilvl="0" w:tplc="31B8EB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9D"/>
    <w:rsid w:val="000249C8"/>
    <w:rsid w:val="00060062"/>
    <w:rsid w:val="0006018A"/>
    <w:rsid w:val="00082810"/>
    <w:rsid w:val="00092601"/>
    <w:rsid w:val="000A16FA"/>
    <w:rsid w:val="000B666B"/>
    <w:rsid w:val="000C7C56"/>
    <w:rsid w:val="00134621"/>
    <w:rsid w:val="001B1245"/>
    <w:rsid w:val="001D2588"/>
    <w:rsid w:val="00201CAC"/>
    <w:rsid w:val="00207401"/>
    <w:rsid w:val="002208E0"/>
    <w:rsid w:val="00237723"/>
    <w:rsid w:val="002511C9"/>
    <w:rsid w:val="002D086C"/>
    <w:rsid w:val="003278CB"/>
    <w:rsid w:val="00355E3C"/>
    <w:rsid w:val="003816B4"/>
    <w:rsid w:val="003D7105"/>
    <w:rsid w:val="004571F5"/>
    <w:rsid w:val="004749A0"/>
    <w:rsid w:val="00485685"/>
    <w:rsid w:val="0048770D"/>
    <w:rsid w:val="004E5281"/>
    <w:rsid w:val="004E67B6"/>
    <w:rsid w:val="00514B3C"/>
    <w:rsid w:val="0052542F"/>
    <w:rsid w:val="00555822"/>
    <w:rsid w:val="005A6AA0"/>
    <w:rsid w:val="00616EE1"/>
    <w:rsid w:val="00622CC6"/>
    <w:rsid w:val="00630066"/>
    <w:rsid w:val="00670A72"/>
    <w:rsid w:val="0067418B"/>
    <w:rsid w:val="006B786C"/>
    <w:rsid w:val="006F4D83"/>
    <w:rsid w:val="00755936"/>
    <w:rsid w:val="008305E0"/>
    <w:rsid w:val="00840519"/>
    <w:rsid w:val="0087692B"/>
    <w:rsid w:val="008837A4"/>
    <w:rsid w:val="00883834"/>
    <w:rsid w:val="008A5530"/>
    <w:rsid w:val="008A5958"/>
    <w:rsid w:val="008C6908"/>
    <w:rsid w:val="00972162"/>
    <w:rsid w:val="009A6BAA"/>
    <w:rsid w:val="009C01A7"/>
    <w:rsid w:val="009D7775"/>
    <w:rsid w:val="00A3268C"/>
    <w:rsid w:val="00A42C48"/>
    <w:rsid w:val="00A74FEF"/>
    <w:rsid w:val="00A85B86"/>
    <w:rsid w:val="00A85C28"/>
    <w:rsid w:val="00AA2B4D"/>
    <w:rsid w:val="00AA365F"/>
    <w:rsid w:val="00B125AC"/>
    <w:rsid w:val="00B15BCF"/>
    <w:rsid w:val="00B459EE"/>
    <w:rsid w:val="00BB0FA7"/>
    <w:rsid w:val="00C0674F"/>
    <w:rsid w:val="00C14708"/>
    <w:rsid w:val="00C41A55"/>
    <w:rsid w:val="00CC699D"/>
    <w:rsid w:val="00CD1880"/>
    <w:rsid w:val="00CD484B"/>
    <w:rsid w:val="00CD7AC3"/>
    <w:rsid w:val="00D94E91"/>
    <w:rsid w:val="00DC4CE2"/>
    <w:rsid w:val="00DC6B07"/>
    <w:rsid w:val="00E320D8"/>
    <w:rsid w:val="00E34569"/>
    <w:rsid w:val="00E372C6"/>
    <w:rsid w:val="00E50D5E"/>
    <w:rsid w:val="00E6159E"/>
    <w:rsid w:val="00E757F6"/>
    <w:rsid w:val="00E82B02"/>
    <w:rsid w:val="00EB5296"/>
    <w:rsid w:val="00EE63F6"/>
    <w:rsid w:val="00F0213D"/>
    <w:rsid w:val="00F2480D"/>
    <w:rsid w:val="00F36ED8"/>
    <w:rsid w:val="00F61BAC"/>
    <w:rsid w:val="00F63D64"/>
    <w:rsid w:val="00F85466"/>
    <w:rsid w:val="00F9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A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6AA0"/>
    <w:rPr>
      <w:rFonts w:asciiTheme="majorHAnsi" w:eastAsiaTheme="majorEastAsia" w:hAnsiTheme="majorHAnsi" w:cstheme="majorBidi"/>
      <w:sz w:val="18"/>
      <w:szCs w:val="18"/>
    </w:rPr>
  </w:style>
  <w:style w:type="paragraph" w:styleId="a6">
    <w:name w:val="header"/>
    <w:basedOn w:val="a"/>
    <w:link w:val="a7"/>
    <w:uiPriority w:val="99"/>
    <w:unhideWhenUsed/>
    <w:rsid w:val="00355E3C"/>
    <w:pPr>
      <w:tabs>
        <w:tab w:val="center" w:pos="4153"/>
        <w:tab w:val="right" w:pos="8306"/>
      </w:tabs>
      <w:snapToGrid w:val="0"/>
    </w:pPr>
    <w:rPr>
      <w:sz w:val="20"/>
      <w:szCs w:val="20"/>
    </w:rPr>
  </w:style>
  <w:style w:type="character" w:customStyle="1" w:styleId="a7">
    <w:name w:val="頁首 字元"/>
    <w:basedOn w:val="a0"/>
    <w:link w:val="a6"/>
    <w:uiPriority w:val="99"/>
    <w:rsid w:val="00355E3C"/>
    <w:rPr>
      <w:sz w:val="20"/>
      <w:szCs w:val="20"/>
    </w:rPr>
  </w:style>
  <w:style w:type="paragraph" w:styleId="a8">
    <w:name w:val="footer"/>
    <w:basedOn w:val="a"/>
    <w:link w:val="a9"/>
    <w:uiPriority w:val="99"/>
    <w:unhideWhenUsed/>
    <w:rsid w:val="00355E3C"/>
    <w:pPr>
      <w:tabs>
        <w:tab w:val="center" w:pos="4153"/>
        <w:tab w:val="right" w:pos="8306"/>
      </w:tabs>
      <w:snapToGrid w:val="0"/>
    </w:pPr>
    <w:rPr>
      <w:sz w:val="20"/>
      <w:szCs w:val="20"/>
    </w:rPr>
  </w:style>
  <w:style w:type="character" w:customStyle="1" w:styleId="a9">
    <w:name w:val="頁尾 字元"/>
    <w:basedOn w:val="a0"/>
    <w:link w:val="a8"/>
    <w:uiPriority w:val="99"/>
    <w:rsid w:val="00355E3C"/>
    <w:rPr>
      <w:sz w:val="20"/>
      <w:szCs w:val="20"/>
    </w:rPr>
  </w:style>
  <w:style w:type="paragraph" w:styleId="aa">
    <w:name w:val="List Paragraph"/>
    <w:basedOn w:val="a"/>
    <w:uiPriority w:val="34"/>
    <w:qFormat/>
    <w:rsid w:val="008A5530"/>
    <w:pPr>
      <w:ind w:leftChars="200" w:left="480"/>
    </w:pPr>
  </w:style>
  <w:style w:type="paragraph" w:styleId="Web">
    <w:name w:val="Normal (Web)"/>
    <w:basedOn w:val="a"/>
    <w:uiPriority w:val="99"/>
    <w:semiHidden/>
    <w:unhideWhenUsed/>
    <w:rsid w:val="00DC6B0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A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6AA0"/>
    <w:rPr>
      <w:rFonts w:asciiTheme="majorHAnsi" w:eastAsiaTheme="majorEastAsia" w:hAnsiTheme="majorHAnsi" w:cstheme="majorBidi"/>
      <w:sz w:val="18"/>
      <w:szCs w:val="18"/>
    </w:rPr>
  </w:style>
  <w:style w:type="paragraph" w:styleId="a6">
    <w:name w:val="header"/>
    <w:basedOn w:val="a"/>
    <w:link w:val="a7"/>
    <w:uiPriority w:val="99"/>
    <w:unhideWhenUsed/>
    <w:rsid w:val="00355E3C"/>
    <w:pPr>
      <w:tabs>
        <w:tab w:val="center" w:pos="4153"/>
        <w:tab w:val="right" w:pos="8306"/>
      </w:tabs>
      <w:snapToGrid w:val="0"/>
    </w:pPr>
    <w:rPr>
      <w:sz w:val="20"/>
      <w:szCs w:val="20"/>
    </w:rPr>
  </w:style>
  <w:style w:type="character" w:customStyle="1" w:styleId="a7">
    <w:name w:val="頁首 字元"/>
    <w:basedOn w:val="a0"/>
    <w:link w:val="a6"/>
    <w:uiPriority w:val="99"/>
    <w:rsid w:val="00355E3C"/>
    <w:rPr>
      <w:sz w:val="20"/>
      <w:szCs w:val="20"/>
    </w:rPr>
  </w:style>
  <w:style w:type="paragraph" w:styleId="a8">
    <w:name w:val="footer"/>
    <w:basedOn w:val="a"/>
    <w:link w:val="a9"/>
    <w:uiPriority w:val="99"/>
    <w:unhideWhenUsed/>
    <w:rsid w:val="00355E3C"/>
    <w:pPr>
      <w:tabs>
        <w:tab w:val="center" w:pos="4153"/>
        <w:tab w:val="right" w:pos="8306"/>
      </w:tabs>
      <w:snapToGrid w:val="0"/>
    </w:pPr>
    <w:rPr>
      <w:sz w:val="20"/>
      <w:szCs w:val="20"/>
    </w:rPr>
  </w:style>
  <w:style w:type="character" w:customStyle="1" w:styleId="a9">
    <w:name w:val="頁尾 字元"/>
    <w:basedOn w:val="a0"/>
    <w:link w:val="a8"/>
    <w:uiPriority w:val="99"/>
    <w:rsid w:val="00355E3C"/>
    <w:rPr>
      <w:sz w:val="20"/>
      <w:szCs w:val="20"/>
    </w:rPr>
  </w:style>
  <w:style w:type="paragraph" w:styleId="aa">
    <w:name w:val="List Paragraph"/>
    <w:basedOn w:val="a"/>
    <w:uiPriority w:val="34"/>
    <w:qFormat/>
    <w:rsid w:val="008A5530"/>
    <w:pPr>
      <w:ind w:leftChars="200" w:left="480"/>
    </w:pPr>
  </w:style>
  <w:style w:type="paragraph" w:styleId="Web">
    <w:name w:val="Normal (Web)"/>
    <w:basedOn w:val="a"/>
    <w:uiPriority w:val="99"/>
    <w:semiHidden/>
    <w:unhideWhenUsed/>
    <w:rsid w:val="00DC6B0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0820">
      <w:bodyDiv w:val="1"/>
      <w:marLeft w:val="0"/>
      <w:marRight w:val="0"/>
      <w:marTop w:val="0"/>
      <w:marBottom w:val="0"/>
      <w:divBdr>
        <w:top w:val="none" w:sz="0" w:space="0" w:color="auto"/>
        <w:left w:val="none" w:sz="0" w:space="0" w:color="auto"/>
        <w:bottom w:val="none" w:sz="0" w:space="0" w:color="auto"/>
        <w:right w:val="none" w:sz="0" w:space="0" w:color="auto"/>
      </w:divBdr>
      <w:divsChild>
        <w:div w:id="1415585144">
          <w:marLeft w:val="576"/>
          <w:marRight w:val="0"/>
          <w:marTop w:val="0"/>
          <w:marBottom w:val="0"/>
          <w:divBdr>
            <w:top w:val="none" w:sz="0" w:space="0" w:color="auto"/>
            <w:left w:val="none" w:sz="0" w:space="0" w:color="auto"/>
            <w:bottom w:val="none" w:sz="0" w:space="0" w:color="auto"/>
            <w:right w:val="none" w:sz="0" w:space="0" w:color="auto"/>
          </w:divBdr>
        </w:div>
      </w:divsChild>
    </w:div>
    <w:div w:id="731730751">
      <w:bodyDiv w:val="1"/>
      <w:marLeft w:val="0"/>
      <w:marRight w:val="0"/>
      <w:marTop w:val="0"/>
      <w:marBottom w:val="0"/>
      <w:divBdr>
        <w:top w:val="none" w:sz="0" w:space="0" w:color="auto"/>
        <w:left w:val="none" w:sz="0" w:space="0" w:color="auto"/>
        <w:bottom w:val="none" w:sz="0" w:space="0" w:color="auto"/>
        <w:right w:val="none" w:sz="0" w:space="0" w:color="auto"/>
      </w:divBdr>
    </w:div>
    <w:div w:id="762264132">
      <w:bodyDiv w:val="1"/>
      <w:marLeft w:val="0"/>
      <w:marRight w:val="0"/>
      <w:marTop w:val="0"/>
      <w:marBottom w:val="0"/>
      <w:divBdr>
        <w:top w:val="none" w:sz="0" w:space="0" w:color="auto"/>
        <w:left w:val="none" w:sz="0" w:space="0" w:color="auto"/>
        <w:bottom w:val="none" w:sz="0" w:space="0" w:color="auto"/>
        <w:right w:val="none" w:sz="0" w:space="0" w:color="auto"/>
      </w:divBdr>
    </w:div>
    <w:div w:id="17464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9679;.%20KITTY\5.&#20839;&#25511;(&#20839;&#31293;)&amp;&#32113;&#35336;\1080808\1080909%20-%20&#20419;&#39184;&#26696;&#20214;&#32113;&#35336;&#20214;&#25976;.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702099188115318E-2"/>
          <c:y val="7.4548702245552628E-2"/>
          <c:w val="0.87938520290879796"/>
          <c:h val="0.65011592300962384"/>
        </c:manualLayout>
      </c:layout>
      <c:barChart>
        <c:barDir val="col"/>
        <c:grouping val="clustered"/>
        <c:varyColors val="0"/>
        <c:ser>
          <c:idx val="0"/>
          <c:order val="0"/>
          <c:invertIfNegative val="0"/>
          <c:dPt>
            <c:idx val="0"/>
            <c:invertIfNegative val="0"/>
            <c:bubble3D val="0"/>
            <c:spPr>
              <a:solidFill>
                <a:srgbClr val="FFC000"/>
              </a:solidFill>
            </c:spPr>
          </c:dPt>
          <c:dPt>
            <c:idx val="1"/>
            <c:invertIfNegative val="0"/>
            <c:bubble3D val="0"/>
            <c:spPr>
              <a:solidFill>
                <a:schemeClr val="accent5">
                  <a:lumMod val="60000"/>
                  <a:lumOff val="40000"/>
                </a:schemeClr>
              </a:solidFill>
            </c:spPr>
          </c:dPt>
          <c:dPt>
            <c:idx val="3"/>
            <c:invertIfNegative val="0"/>
            <c:bubble3D val="0"/>
            <c:spPr>
              <a:solidFill>
                <a:srgbClr val="FF0000"/>
              </a:solidFill>
            </c:spPr>
          </c:dPt>
          <c:dPt>
            <c:idx val="4"/>
            <c:invertIfNegative val="0"/>
            <c:bubble3D val="0"/>
            <c:spPr>
              <a:solidFill>
                <a:srgbClr val="FF99CC"/>
              </a:solidFill>
            </c:spPr>
          </c:dPt>
          <c:dLbls>
            <c:txPr>
              <a:bodyPr/>
              <a:lstStyle/>
              <a:p>
                <a:pPr>
                  <a:defRPr sz="1400" b="1">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工作表1!$A$5:$A$9</c:f>
              <c:strCache>
                <c:ptCount val="5"/>
                <c:pt idx="0">
                  <c:v>BOT</c:v>
                </c:pt>
                <c:pt idx="1">
                  <c:v>OT</c:v>
                </c:pt>
                <c:pt idx="2">
                  <c:v>BOO</c:v>
                </c:pt>
                <c:pt idx="3">
                  <c:v>ROT</c:v>
                </c:pt>
                <c:pt idx="4">
                  <c:v>產業創新條例</c:v>
                </c:pt>
              </c:strCache>
            </c:strRef>
          </c:cat>
          <c:val>
            <c:numRef>
              <c:f>工作表1!$B$5:$B$9</c:f>
              <c:numCache>
                <c:formatCode>General</c:formatCode>
                <c:ptCount val="5"/>
                <c:pt idx="0">
                  <c:v>5</c:v>
                </c:pt>
                <c:pt idx="1">
                  <c:v>20</c:v>
                </c:pt>
                <c:pt idx="2">
                  <c:v>2</c:v>
                </c:pt>
                <c:pt idx="3">
                  <c:v>4</c:v>
                </c:pt>
                <c:pt idx="4">
                  <c:v>1</c:v>
                </c:pt>
              </c:numCache>
            </c:numRef>
          </c:val>
        </c:ser>
        <c:dLbls>
          <c:showLegendKey val="0"/>
          <c:showVal val="0"/>
          <c:showCatName val="0"/>
          <c:showSerName val="0"/>
          <c:showPercent val="0"/>
          <c:showBubbleSize val="0"/>
        </c:dLbls>
        <c:gapWidth val="150"/>
        <c:axId val="116878336"/>
        <c:axId val="116880128"/>
      </c:barChart>
      <c:catAx>
        <c:axId val="116878336"/>
        <c:scaling>
          <c:orientation val="minMax"/>
        </c:scaling>
        <c:delete val="0"/>
        <c:axPos val="b"/>
        <c:majorTickMark val="out"/>
        <c:minorTickMark val="none"/>
        <c:tickLblPos val="nextTo"/>
        <c:txPr>
          <a:bodyPr/>
          <a:lstStyle/>
          <a:p>
            <a:pPr>
              <a:defRPr sz="1200" b="1">
                <a:latin typeface="標楷體" panose="03000509000000000000" pitchFamily="65" charset="-120"/>
                <a:ea typeface="標楷體" panose="03000509000000000000" pitchFamily="65" charset="-120"/>
              </a:defRPr>
            </a:pPr>
            <a:endParaRPr lang="zh-TW"/>
          </a:p>
        </c:txPr>
        <c:crossAx val="116880128"/>
        <c:crosses val="autoZero"/>
        <c:auto val="1"/>
        <c:lblAlgn val="ctr"/>
        <c:lblOffset val="100"/>
        <c:noMultiLvlLbl val="0"/>
      </c:catAx>
      <c:valAx>
        <c:axId val="116880128"/>
        <c:scaling>
          <c:orientation val="minMax"/>
        </c:scaling>
        <c:delete val="0"/>
        <c:axPos val="l"/>
        <c:majorGridlines/>
        <c:numFmt formatCode="General" sourceLinked="1"/>
        <c:majorTickMark val="out"/>
        <c:minorTickMark val="none"/>
        <c:tickLblPos val="nextTo"/>
        <c:txPr>
          <a:bodyPr/>
          <a:lstStyle/>
          <a:p>
            <a:pPr>
              <a:defRPr sz="1100" b="1">
                <a:latin typeface="標楷體" panose="03000509000000000000" pitchFamily="65" charset="-120"/>
                <a:ea typeface="標楷體" panose="03000509000000000000" pitchFamily="65" charset="-120"/>
              </a:defRPr>
            </a:pPr>
            <a:endParaRPr lang="zh-TW"/>
          </a:p>
        </c:txPr>
        <c:crossAx val="11687833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016165763078817"/>
          <c:y val="4.7105581415582722E-2"/>
          <c:w val="0.61416985954337"/>
          <c:h val="0.95172575803715143"/>
        </c:manualLayout>
      </c:layout>
      <c:pieChart>
        <c:varyColors val="1"/>
        <c:ser>
          <c:idx val="0"/>
          <c:order val="0"/>
          <c:explosion val="5"/>
          <c:dPt>
            <c:idx val="0"/>
            <c:bubble3D val="0"/>
            <c:spPr>
              <a:solidFill>
                <a:srgbClr val="FF66CC"/>
              </a:solidFill>
            </c:spPr>
          </c:dPt>
          <c:dPt>
            <c:idx val="1"/>
            <c:bubble3D val="0"/>
            <c:spPr>
              <a:solidFill>
                <a:srgbClr val="00B0F0"/>
              </a:solidFill>
            </c:spPr>
          </c:dPt>
          <c:dPt>
            <c:idx val="2"/>
            <c:bubble3D val="0"/>
            <c:spPr>
              <a:solidFill>
                <a:schemeClr val="accent2">
                  <a:lumMod val="40000"/>
                  <a:lumOff val="60000"/>
                </a:schemeClr>
              </a:solidFill>
            </c:spPr>
          </c:dPt>
          <c:dPt>
            <c:idx val="3"/>
            <c:bubble3D val="0"/>
            <c:spPr>
              <a:solidFill>
                <a:srgbClr val="FFC000"/>
              </a:solidFill>
            </c:spPr>
          </c:dPt>
          <c:dPt>
            <c:idx val="4"/>
            <c:bubble3D val="0"/>
            <c:spPr>
              <a:solidFill>
                <a:srgbClr val="92D050"/>
              </a:solidFill>
            </c:spPr>
          </c:dPt>
          <c:dLbls>
            <c:dLbl>
              <c:idx val="0"/>
              <c:layout>
                <c:manualLayout>
                  <c:x val="-3.1046117820574027E-2"/>
                  <c:y val="1.5832535617115554E-4"/>
                </c:manualLayout>
              </c:layout>
              <c:showLegendKey val="0"/>
              <c:showVal val="1"/>
              <c:showCatName val="1"/>
              <c:showSerName val="0"/>
              <c:showPercent val="0"/>
              <c:showBubbleSize val="0"/>
            </c:dLbl>
            <c:dLbl>
              <c:idx val="1"/>
              <c:layout>
                <c:manualLayout>
                  <c:x val="-1.1141535859460717E-2"/>
                  <c:y val="4.490837833427111E-2"/>
                </c:manualLayout>
              </c:layout>
              <c:tx>
                <c:rich>
                  <a:bodyPr/>
                  <a:lstStyle/>
                  <a:p>
                    <a:r>
                      <a:rPr lang="zh-TW" altLang="en-US"/>
                      <a:t>有償</a:t>
                    </a:r>
                    <a:r>
                      <a:rPr lang="en-US" altLang="en-US"/>
                      <a:t>BTO,8%</a:t>
                    </a:r>
                  </a:p>
                </c:rich>
              </c:tx>
              <c:showLegendKey val="0"/>
              <c:showVal val="1"/>
              <c:showCatName val="1"/>
              <c:showSerName val="0"/>
              <c:showPercent val="0"/>
              <c:showBubbleSize val="0"/>
            </c:dLbl>
            <c:dLbl>
              <c:idx val="2"/>
              <c:layout>
                <c:manualLayout>
                  <c:x val="-7.6075576089984346E-4"/>
                  <c:y val="5.2639803598811034E-2"/>
                </c:manualLayout>
              </c:layout>
              <c:showLegendKey val="0"/>
              <c:showVal val="1"/>
              <c:showCatName val="1"/>
              <c:showSerName val="0"/>
              <c:showPercent val="0"/>
              <c:showBubbleSize val="0"/>
            </c:dLbl>
            <c:dLbl>
              <c:idx val="3"/>
              <c:layout>
                <c:manualLayout>
                  <c:x val="8.0813697245397054E-2"/>
                  <c:y val="-0.20425938869592411"/>
                </c:manualLayout>
              </c:layout>
              <c:tx>
                <c:rich>
                  <a:bodyPr/>
                  <a:lstStyle/>
                  <a:p>
                    <a:pPr>
                      <a:defRPr sz="1200" b="1">
                        <a:solidFill>
                          <a:srgbClr val="002060"/>
                        </a:solidFill>
                        <a:latin typeface="標楷體" panose="03000509000000000000" pitchFamily="65" charset="-120"/>
                        <a:ea typeface="標楷體" panose="03000509000000000000" pitchFamily="65" charset="-120"/>
                      </a:defRPr>
                    </a:pPr>
                    <a:r>
                      <a:rPr lang="en-US" altLang="zh-TW" sz="1200" b="1">
                        <a:solidFill>
                          <a:srgbClr val="002060"/>
                        </a:solidFill>
                        <a:latin typeface="標楷體" panose="03000509000000000000" pitchFamily="65" charset="-120"/>
                        <a:ea typeface="標楷體" panose="03000509000000000000" pitchFamily="65" charset="-120"/>
                      </a:rPr>
                      <a:t>OT</a:t>
                    </a:r>
                    <a:r>
                      <a:rPr lang="zh-TW" altLang="en-US" sz="1200" b="1">
                        <a:solidFill>
                          <a:srgbClr val="002060"/>
                        </a:solidFill>
                        <a:latin typeface="標楷體" panose="03000509000000000000" pitchFamily="65" charset="-120"/>
                        <a:ea typeface="標楷體" panose="03000509000000000000" pitchFamily="65" charset="-120"/>
                      </a:rPr>
                      <a:t>，</a:t>
                    </a:r>
                    <a:r>
                      <a:rPr lang="en-US" altLang="zh-TW" sz="1200" b="1">
                        <a:solidFill>
                          <a:srgbClr val="002060"/>
                        </a:solidFill>
                        <a:latin typeface="標楷體" panose="03000509000000000000" pitchFamily="65" charset="-120"/>
                        <a:ea typeface="標楷體" panose="03000509000000000000" pitchFamily="65" charset="-120"/>
                      </a:rPr>
                      <a:t>69%</a:t>
                    </a:r>
                    <a:endParaRPr lang="en-US" altLang="en-US"/>
                  </a:p>
                </c:rich>
              </c:tx>
              <c:numFmt formatCode="@" sourceLinked="0"/>
              <c:spPr/>
              <c:showLegendKey val="0"/>
              <c:showVal val="1"/>
              <c:showCatName val="1"/>
              <c:showSerName val="0"/>
              <c:showPercent val="0"/>
              <c:showBubbleSize val="0"/>
            </c:dLbl>
            <c:dLbl>
              <c:idx val="4"/>
              <c:layout>
                <c:manualLayout>
                  <c:x val="-8.902494944137378E-3"/>
                  <c:y val="6.6287868902429478E-2"/>
                </c:manualLayout>
              </c:layout>
              <c:tx>
                <c:rich>
                  <a:bodyPr/>
                  <a:lstStyle/>
                  <a:p>
                    <a:r>
                      <a:rPr lang="en-US" altLang="en-US"/>
                      <a:t>ROT+BOT,</a:t>
                    </a:r>
                    <a:r>
                      <a:rPr lang="en-US" altLang="zh-TW"/>
                      <a:t>8</a:t>
                    </a:r>
                    <a:r>
                      <a:rPr lang="en-US" altLang="en-US"/>
                      <a:t>%</a:t>
                    </a:r>
                  </a:p>
                </c:rich>
              </c:tx>
              <c:showLegendKey val="0"/>
              <c:showVal val="1"/>
              <c:showCatName val="1"/>
              <c:showSerName val="0"/>
              <c:showPercent val="0"/>
              <c:showBubbleSize val="0"/>
            </c:dLbl>
            <c:txPr>
              <a:bodyPr/>
              <a:lstStyle/>
              <a:p>
                <a:pPr>
                  <a:defRPr sz="1200" b="1">
                    <a:solidFill>
                      <a:srgbClr val="002060"/>
                    </a:solidFill>
                    <a:latin typeface="標楷體" panose="03000509000000000000" pitchFamily="65" charset="-120"/>
                    <a:ea typeface="標楷體" panose="03000509000000000000" pitchFamily="65" charset="-120"/>
                  </a:defRPr>
                </a:pPr>
                <a:endParaRPr lang="zh-TW"/>
              </a:p>
            </c:txPr>
            <c:showLegendKey val="0"/>
            <c:showVal val="1"/>
            <c:showCatName val="1"/>
            <c:showSerName val="0"/>
            <c:showPercent val="0"/>
            <c:showBubbleSize val="0"/>
            <c:showLeaderLines val="1"/>
          </c:dLbls>
          <c:cat>
            <c:strRef>
              <c:f>工作表5!$G$12:$G$16</c:f>
              <c:strCache>
                <c:ptCount val="5"/>
                <c:pt idx="0">
                  <c:v>ROT</c:v>
                </c:pt>
                <c:pt idx="1">
                  <c:v>有償BTO</c:v>
                </c:pt>
                <c:pt idx="2">
                  <c:v>OT+BOT</c:v>
                </c:pt>
                <c:pt idx="3">
                  <c:v>OT</c:v>
                </c:pt>
                <c:pt idx="4">
                  <c:v>ROT+BOT</c:v>
                </c:pt>
              </c:strCache>
            </c:strRef>
          </c:cat>
          <c:val>
            <c:numRef>
              <c:f>工作表5!$K$12:$K$16</c:f>
              <c:numCache>
                <c:formatCode>0%</c:formatCode>
                <c:ptCount val="5"/>
                <c:pt idx="0">
                  <c:v>7.6923076923076927E-2</c:v>
                </c:pt>
                <c:pt idx="1">
                  <c:v>7.6923076923076927E-2</c:v>
                </c:pt>
                <c:pt idx="2">
                  <c:v>7.6923076923076927E-2</c:v>
                </c:pt>
                <c:pt idx="3" formatCode="0.00%">
                  <c:v>0.69230769230769229</c:v>
                </c:pt>
                <c:pt idx="4">
                  <c:v>7.6923076923076927E-2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425692244603644E-2"/>
          <c:y val="0.12317201151164363"/>
          <c:w val="0.94081047293682252"/>
          <c:h val="0.57790776152980883"/>
        </c:manualLayout>
      </c:layout>
      <c:barChart>
        <c:barDir val="col"/>
        <c:grouping val="stacked"/>
        <c:varyColors val="0"/>
        <c:ser>
          <c:idx val="0"/>
          <c:order val="0"/>
          <c:tx>
            <c:strRef>
              <c:f>工作表3!$D$5</c:f>
              <c:strCache>
                <c:ptCount val="1"/>
                <c:pt idx="0">
                  <c:v>已簽約件數</c:v>
                </c:pt>
              </c:strCache>
            </c:strRef>
          </c:tx>
          <c:spPr>
            <a:solidFill>
              <a:srgbClr val="92D050"/>
            </a:solidFill>
          </c:spPr>
          <c:invertIfNegative val="0"/>
          <c:dLbls>
            <c:dLbl>
              <c:idx val="0"/>
              <c:layout>
                <c:manualLayout>
                  <c:x val="2.5629387679621279E-2"/>
                  <c:y val="-8.1178937164556736E-2"/>
                </c:manualLayout>
              </c:layout>
              <c:showLegendKey val="0"/>
              <c:showVal val="1"/>
              <c:showCatName val="0"/>
              <c:showSerName val="0"/>
              <c:showPercent val="0"/>
              <c:showBubbleSize val="0"/>
            </c:dLbl>
            <c:dLbl>
              <c:idx val="1"/>
              <c:delete val="1"/>
            </c:dLbl>
            <c:dLbl>
              <c:idx val="2"/>
              <c:layout>
                <c:manualLayout>
                  <c:x val="2.7962250961202376E-2"/>
                  <c:y val="-4.2357924461701377E-2"/>
                </c:manualLayout>
              </c:layout>
              <c:showLegendKey val="0"/>
              <c:showVal val="1"/>
              <c:showCatName val="0"/>
              <c:showSerName val="0"/>
              <c:showPercent val="0"/>
              <c:showBubbleSize val="0"/>
            </c:dLbl>
            <c:dLbl>
              <c:idx val="3"/>
              <c:layout>
                <c:manualLayout>
                  <c:x val="4.193970685506325E-2"/>
                  <c:y val="-3.529516292066108E-2"/>
                </c:manualLayout>
              </c:layout>
              <c:showLegendKey val="0"/>
              <c:showVal val="1"/>
              <c:showCatName val="0"/>
              <c:showSerName val="0"/>
              <c:showPercent val="0"/>
              <c:showBubbleSize val="0"/>
            </c:dLbl>
            <c:dLbl>
              <c:idx val="4"/>
              <c:layout>
                <c:manualLayout>
                  <c:x val="5.3589910838216175E-2"/>
                  <c:y val="-0.19620141513381964"/>
                </c:manualLayout>
              </c:layout>
              <c:showLegendKey val="0"/>
              <c:showVal val="1"/>
              <c:showCatName val="0"/>
              <c:showSerName val="0"/>
              <c:showPercent val="0"/>
              <c:showBubbleSize val="0"/>
            </c:dLbl>
            <c:dLbl>
              <c:idx val="5"/>
              <c:delete val="1"/>
            </c:dLbl>
            <c:dLbl>
              <c:idx val="6"/>
              <c:delete val="1"/>
            </c:dLbl>
            <c:dLbl>
              <c:idx val="7"/>
              <c:layout>
                <c:manualLayout>
                  <c:x val="2.7962250961202462E-2"/>
                  <c:y val="-4.5887751500176488E-2"/>
                </c:manualLayout>
              </c:layout>
              <c:showLegendKey val="0"/>
              <c:showVal val="1"/>
              <c:showCatName val="0"/>
              <c:showSerName val="0"/>
              <c:showPercent val="0"/>
              <c:showBubbleSize val="0"/>
            </c:dLbl>
            <c:txPr>
              <a:bodyPr/>
              <a:lstStyle/>
              <a:p>
                <a:pPr>
                  <a:defRPr sz="1600" b="1">
                    <a:solidFill>
                      <a:srgbClr val="00CC00"/>
                    </a:solidFill>
                  </a:defRPr>
                </a:pPr>
                <a:endParaRPr lang="zh-TW"/>
              </a:p>
            </c:txPr>
            <c:showLegendKey val="0"/>
            <c:showVal val="1"/>
            <c:showCatName val="0"/>
            <c:showSerName val="0"/>
            <c:showPercent val="0"/>
            <c:showBubbleSize val="0"/>
            <c:showLeaderLines val="0"/>
          </c:dLbls>
          <c:cat>
            <c:strRef>
              <c:f>工作表3!$C$6:$C$13</c:f>
              <c:strCache>
                <c:ptCount val="8"/>
                <c:pt idx="0">
                  <c:v>BOT</c:v>
                </c:pt>
                <c:pt idx="1">
                  <c:v>有償BTO</c:v>
                </c:pt>
                <c:pt idx="2">
                  <c:v>BOO</c:v>
                </c:pt>
                <c:pt idx="3">
                  <c:v>ROT</c:v>
                </c:pt>
                <c:pt idx="4">
                  <c:v>OT</c:v>
                </c:pt>
                <c:pt idx="5">
                  <c:v>OT+BOT</c:v>
                </c:pt>
                <c:pt idx="6">
                  <c:v>ROT+BOT</c:v>
                </c:pt>
                <c:pt idx="7">
                  <c:v>產業創新條例</c:v>
                </c:pt>
              </c:strCache>
            </c:strRef>
          </c:cat>
          <c:val>
            <c:numRef>
              <c:f>工作表3!$D$6:$D$13</c:f>
              <c:numCache>
                <c:formatCode>General</c:formatCode>
                <c:ptCount val="8"/>
                <c:pt idx="0">
                  <c:v>5</c:v>
                </c:pt>
                <c:pt idx="1">
                  <c:v>0</c:v>
                </c:pt>
                <c:pt idx="2">
                  <c:v>2</c:v>
                </c:pt>
                <c:pt idx="3">
                  <c:v>4</c:v>
                </c:pt>
                <c:pt idx="4">
                  <c:v>20</c:v>
                </c:pt>
                <c:pt idx="5">
                  <c:v>0</c:v>
                </c:pt>
                <c:pt idx="6">
                  <c:v>0</c:v>
                </c:pt>
                <c:pt idx="7">
                  <c:v>1</c:v>
                </c:pt>
              </c:numCache>
            </c:numRef>
          </c:val>
        </c:ser>
        <c:ser>
          <c:idx val="1"/>
          <c:order val="1"/>
          <c:tx>
            <c:strRef>
              <c:f>工作表3!$E$5</c:f>
              <c:strCache>
                <c:ptCount val="1"/>
                <c:pt idx="0">
                  <c:v>前置作業件數</c:v>
                </c:pt>
              </c:strCache>
            </c:strRef>
          </c:tx>
          <c:spPr>
            <a:solidFill>
              <a:srgbClr val="FF0000"/>
            </a:solidFill>
          </c:spPr>
          <c:invertIfNegative val="0"/>
          <c:dLbls>
            <c:dLbl>
              <c:idx val="0"/>
              <c:delete val="1"/>
            </c:dLbl>
            <c:dLbl>
              <c:idx val="1"/>
              <c:layout>
                <c:manualLayout>
                  <c:x val="-1.3981125480601188E-2"/>
                  <c:y val="-4.9417657625176248E-2"/>
                </c:manualLayout>
              </c:layout>
              <c:showLegendKey val="0"/>
              <c:showVal val="1"/>
              <c:showCatName val="0"/>
              <c:showSerName val="0"/>
              <c:showPercent val="0"/>
              <c:showBubbleSize val="0"/>
            </c:dLbl>
            <c:dLbl>
              <c:idx val="2"/>
              <c:delete val="1"/>
            </c:dLbl>
            <c:dLbl>
              <c:idx val="3"/>
              <c:layout>
                <c:manualLayout>
                  <c:x val="-2.0971688220901782E-2"/>
                  <c:y val="-4.9417657625176248E-2"/>
                </c:manualLayout>
              </c:layout>
              <c:showLegendKey val="0"/>
              <c:showVal val="1"/>
              <c:showCatName val="0"/>
              <c:showSerName val="0"/>
              <c:showPercent val="0"/>
              <c:showBubbleSize val="0"/>
            </c:dLbl>
            <c:dLbl>
              <c:idx val="4"/>
              <c:layout>
                <c:manualLayout>
                  <c:x val="-3.2614267258191221E-2"/>
                  <c:y val="-0.11321371301372492"/>
                </c:manualLayout>
              </c:layout>
              <c:showLegendKey val="0"/>
              <c:showVal val="1"/>
              <c:showCatName val="0"/>
              <c:showSerName val="0"/>
              <c:showPercent val="0"/>
              <c:showBubbleSize val="0"/>
            </c:dLbl>
            <c:dLbl>
              <c:idx val="5"/>
              <c:layout>
                <c:manualLayout>
                  <c:x val="-2.3301828327499913E-2"/>
                  <c:y val="-4.5887561157191011E-2"/>
                </c:manualLayout>
              </c:layout>
              <c:showLegendKey val="0"/>
              <c:showVal val="1"/>
              <c:showCatName val="0"/>
              <c:showSerName val="0"/>
              <c:showPercent val="0"/>
              <c:showBubbleSize val="0"/>
            </c:dLbl>
            <c:dLbl>
              <c:idx val="6"/>
              <c:layout>
                <c:manualLayout>
                  <c:x val="-1.630685843881988E-2"/>
                  <c:y val="-4.5628498536399199E-2"/>
                </c:manualLayout>
              </c:layout>
              <c:showLegendKey val="0"/>
              <c:showVal val="1"/>
              <c:showCatName val="0"/>
              <c:showSerName val="0"/>
              <c:showPercent val="0"/>
              <c:showBubbleSize val="0"/>
            </c:dLbl>
            <c:dLbl>
              <c:idx val="7"/>
              <c:delete val="1"/>
            </c:dLbl>
            <c:txPr>
              <a:bodyPr/>
              <a:lstStyle/>
              <a:p>
                <a:pPr>
                  <a:defRPr sz="1600" b="1">
                    <a:solidFill>
                      <a:srgbClr val="C00000"/>
                    </a:solidFill>
                  </a:defRPr>
                </a:pPr>
                <a:endParaRPr lang="zh-TW"/>
              </a:p>
            </c:txPr>
            <c:showLegendKey val="0"/>
            <c:showVal val="1"/>
            <c:showCatName val="0"/>
            <c:showSerName val="0"/>
            <c:showPercent val="0"/>
            <c:showBubbleSize val="0"/>
            <c:showLeaderLines val="0"/>
          </c:dLbls>
          <c:cat>
            <c:strRef>
              <c:f>工作表3!$C$6:$C$13</c:f>
              <c:strCache>
                <c:ptCount val="8"/>
                <c:pt idx="0">
                  <c:v>BOT</c:v>
                </c:pt>
                <c:pt idx="1">
                  <c:v>有償BTO</c:v>
                </c:pt>
                <c:pt idx="2">
                  <c:v>BOO</c:v>
                </c:pt>
                <c:pt idx="3">
                  <c:v>ROT</c:v>
                </c:pt>
                <c:pt idx="4">
                  <c:v>OT</c:v>
                </c:pt>
                <c:pt idx="5">
                  <c:v>OT+BOT</c:v>
                </c:pt>
                <c:pt idx="6">
                  <c:v>ROT+BOT</c:v>
                </c:pt>
                <c:pt idx="7">
                  <c:v>產業創新條例</c:v>
                </c:pt>
              </c:strCache>
            </c:strRef>
          </c:cat>
          <c:val>
            <c:numRef>
              <c:f>工作表3!$E$6:$E$13</c:f>
              <c:numCache>
                <c:formatCode>General</c:formatCode>
                <c:ptCount val="8"/>
                <c:pt idx="0">
                  <c:v>0</c:v>
                </c:pt>
                <c:pt idx="1">
                  <c:v>1</c:v>
                </c:pt>
                <c:pt idx="2">
                  <c:v>0</c:v>
                </c:pt>
                <c:pt idx="3">
                  <c:v>1</c:v>
                </c:pt>
                <c:pt idx="4">
                  <c:v>9</c:v>
                </c:pt>
                <c:pt idx="5">
                  <c:v>1</c:v>
                </c:pt>
                <c:pt idx="6">
                  <c:v>1</c:v>
                </c:pt>
                <c:pt idx="7">
                  <c:v>0</c:v>
                </c:pt>
              </c:numCache>
            </c:numRef>
          </c:val>
        </c:ser>
        <c:dLbls>
          <c:showLegendKey val="0"/>
          <c:showVal val="0"/>
          <c:showCatName val="0"/>
          <c:showSerName val="0"/>
          <c:showPercent val="0"/>
          <c:showBubbleSize val="0"/>
        </c:dLbls>
        <c:gapWidth val="150"/>
        <c:overlap val="100"/>
        <c:axId val="129796736"/>
        <c:axId val="129806720"/>
      </c:barChart>
      <c:catAx>
        <c:axId val="129796736"/>
        <c:scaling>
          <c:orientation val="minMax"/>
        </c:scaling>
        <c:delete val="0"/>
        <c:axPos val="b"/>
        <c:majorTickMark val="out"/>
        <c:minorTickMark val="none"/>
        <c:tickLblPos val="nextTo"/>
        <c:txPr>
          <a:bodyPr/>
          <a:lstStyle/>
          <a:p>
            <a:pPr>
              <a:defRPr sz="1200" b="1">
                <a:latin typeface="標楷體" panose="03000509000000000000" pitchFamily="65" charset="-120"/>
                <a:ea typeface="標楷體" panose="03000509000000000000" pitchFamily="65" charset="-120"/>
                <a:cs typeface="Amiri" panose="00000500000000000000" pitchFamily="2" charset="-78"/>
              </a:defRPr>
            </a:pPr>
            <a:endParaRPr lang="zh-TW"/>
          </a:p>
        </c:txPr>
        <c:crossAx val="129806720"/>
        <c:crosses val="autoZero"/>
        <c:auto val="1"/>
        <c:lblAlgn val="ctr"/>
        <c:lblOffset val="100"/>
        <c:noMultiLvlLbl val="0"/>
      </c:catAx>
      <c:valAx>
        <c:axId val="129806720"/>
        <c:scaling>
          <c:orientation val="minMax"/>
        </c:scaling>
        <c:delete val="0"/>
        <c:axPos val="l"/>
        <c:majorGridlines/>
        <c:numFmt formatCode="General" sourceLinked="1"/>
        <c:majorTickMark val="out"/>
        <c:minorTickMark val="none"/>
        <c:tickLblPos val="nextTo"/>
        <c:txPr>
          <a:bodyPr/>
          <a:lstStyle/>
          <a:p>
            <a:pPr>
              <a:defRPr sz="1200" b="0">
                <a:latin typeface="標楷體" panose="03000509000000000000" pitchFamily="65" charset="-120"/>
                <a:ea typeface="標楷體" panose="03000509000000000000" pitchFamily="65" charset="-120"/>
              </a:defRPr>
            </a:pPr>
            <a:endParaRPr lang="zh-TW"/>
          </a:p>
        </c:txPr>
        <c:crossAx val="129796736"/>
        <c:crosses val="autoZero"/>
        <c:crossBetween val="between"/>
        <c:majorUnit val="10"/>
      </c:valAx>
      <c:spPr>
        <a:noFill/>
        <a:ln>
          <a:noFill/>
        </a:ln>
      </c:spPr>
    </c:plotArea>
    <c:legend>
      <c:legendPos val="r"/>
      <c:layout>
        <c:manualLayout>
          <c:xMode val="edge"/>
          <c:yMode val="edge"/>
          <c:x val="5.8054576124620151E-2"/>
          <c:y val="0.88169248074759887"/>
          <c:w val="0.70579308484726722"/>
          <c:h val="8.3619085635554757E-2"/>
        </c:manualLayout>
      </c:layout>
      <c:overlay val="0"/>
      <c:txPr>
        <a:bodyPr/>
        <a:lstStyle/>
        <a:p>
          <a:pPr>
            <a:defRPr sz="1200" b="0">
              <a:latin typeface="標楷體" panose="03000509000000000000" pitchFamily="65" charset="-120"/>
              <a:ea typeface="標楷體" panose="03000509000000000000" pitchFamily="65" charset="-120"/>
            </a:defRPr>
          </a:pPr>
          <a:endParaRPr lang="zh-TW"/>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615F-9769-4D26-B789-376CA7F5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郭怡君</dc:creator>
  <cp:lastModifiedBy>胡雅婷</cp:lastModifiedBy>
  <cp:revision>2</cp:revision>
  <cp:lastPrinted>2019-09-20T01:57:00Z</cp:lastPrinted>
  <dcterms:created xsi:type="dcterms:W3CDTF">2019-10-01T08:14:00Z</dcterms:created>
  <dcterms:modified xsi:type="dcterms:W3CDTF">2019-10-01T08:14:00Z</dcterms:modified>
</cp:coreProperties>
</file>