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E8" w:rsidRDefault="006B27E8" w:rsidP="006B27E8">
      <w:pPr>
        <w:pStyle w:val="Default"/>
        <w:tabs>
          <w:tab w:val="center" w:pos="4153"/>
          <w:tab w:val="left" w:pos="6685"/>
        </w:tabs>
        <w:spacing w:line="600" w:lineRule="exact"/>
        <w:jc w:val="center"/>
        <w:rPr>
          <w:rFonts w:eastAsia="標楷體"/>
          <w:sz w:val="32"/>
          <w:szCs w:val="32"/>
        </w:rPr>
      </w:pPr>
      <w:r w:rsidRPr="00251F4F">
        <w:rPr>
          <w:rFonts w:eastAsia="標楷體" w:hint="eastAsia"/>
          <w:sz w:val="32"/>
          <w:szCs w:val="32"/>
        </w:rPr>
        <w:t>桃園</w:t>
      </w:r>
      <w:r w:rsidRPr="00251F4F">
        <w:rPr>
          <w:rFonts w:eastAsia="標楷體"/>
          <w:sz w:val="32"/>
          <w:szCs w:val="32"/>
        </w:rPr>
        <w:t>市政府因應災害需要於臺灣銀行非營業時間動支庫款</w:t>
      </w:r>
    </w:p>
    <w:p w:rsidR="00854D1A" w:rsidRPr="00854D1A" w:rsidRDefault="006B27E8" w:rsidP="00B434CB">
      <w:pPr>
        <w:pStyle w:val="Default"/>
        <w:tabs>
          <w:tab w:val="center" w:pos="4153"/>
          <w:tab w:val="left" w:pos="6685"/>
        </w:tabs>
        <w:spacing w:line="600" w:lineRule="exact"/>
        <w:jc w:val="center"/>
        <w:rPr>
          <w:rFonts w:eastAsia="標楷體"/>
          <w:lang w:eastAsia="zh-HK"/>
        </w:rPr>
      </w:pPr>
      <w:r w:rsidRPr="00251F4F">
        <w:rPr>
          <w:rFonts w:eastAsia="標楷體"/>
          <w:sz w:val="32"/>
          <w:szCs w:val="32"/>
        </w:rPr>
        <w:t>標準作業流程說明</w:t>
      </w: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1276"/>
        <w:gridCol w:w="5386"/>
        <w:gridCol w:w="1552"/>
        <w:gridCol w:w="7"/>
      </w:tblGrid>
      <w:tr w:rsidR="006B27E8" w:rsidRPr="007560E6" w:rsidTr="00B954CE">
        <w:tc>
          <w:tcPr>
            <w:tcW w:w="846" w:type="dxa"/>
          </w:tcPr>
          <w:p w:rsidR="006B27E8" w:rsidRPr="007560E6" w:rsidRDefault="00B57091" w:rsidP="007560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作業階段</w:t>
            </w:r>
          </w:p>
        </w:tc>
        <w:tc>
          <w:tcPr>
            <w:tcW w:w="1276" w:type="dxa"/>
          </w:tcPr>
          <w:p w:rsidR="00B954CE" w:rsidRPr="00094729" w:rsidRDefault="00442D03" w:rsidP="00B954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</w:t>
            </w:r>
          </w:p>
          <w:p w:rsidR="006B27E8" w:rsidRPr="00094729" w:rsidRDefault="00442D03" w:rsidP="00B954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5386" w:type="dxa"/>
          </w:tcPr>
          <w:p w:rsidR="006B27E8" w:rsidRPr="00094729" w:rsidRDefault="00442D03" w:rsidP="004F07A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步驟說明</w:t>
            </w:r>
          </w:p>
        </w:tc>
        <w:tc>
          <w:tcPr>
            <w:tcW w:w="1559" w:type="dxa"/>
            <w:gridSpan w:val="2"/>
          </w:tcPr>
          <w:p w:rsidR="006B27E8" w:rsidRPr="00094729" w:rsidRDefault="00442D03" w:rsidP="007560E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作業期限/權責機關</w:t>
            </w:r>
          </w:p>
        </w:tc>
      </w:tr>
      <w:tr w:rsidR="00050337" w:rsidRPr="007560E6" w:rsidTr="00B954CE">
        <w:tc>
          <w:tcPr>
            <w:tcW w:w="846" w:type="dxa"/>
            <w:vMerge w:val="restart"/>
          </w:tcPr>
          <w:p w:rsidR="00B954CE" w:rsidRDefault="00050337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050337" w:rsidRPr="007560E6" w:rsidRDefault="00050337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</w:p>
          <w:p w:rsidR="00B954CE" w:rsidRDefault="00050337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  <w:p w:rsidR="00050337" w:rsidRPr="007560E6" w:rsidRDefault="00050337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76" w:type="dxa"/>
          </w:tcPr>
          <w:p w:rsidR="00050337" w:rsidRPr="00094729" w:rsidRDefault="00050337" w:rsidP="00B954C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1.災</w:t>
            </w:r>
            <w:r w:rsidR="00D868FF"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難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發生</w:t>
            </w:r>
          </w:p>
        </w:tc>
        <w:tc>
          <w:tcPr>
            <w:tcW w:w="5386" w:type="dxa"/>
          </w:tcPr>
          <w:p w:rsidR="00050337" w:rsidRPr="00094729" w:rsidRDefault="00050337" w:rsidP="000549BE">
            <w:pPr>
              <w:pStyle w:val="Default"/>
              <w:spacing w:line="400" w:lineRule="exact"/>
              <w:jc w:val="both"/>
              <w:rPr>
                <w:rFonts w:eastAsia="標楷體" w:cs="標楷體-WinCharSetFFFF-H"/>
                <w:color w:val="000000" w:themeColor="text1"/>
                <w:sz w:val="28"/>
                <w:szCs w:val="28"/>
              </w:rPr>
            </w:pPr>
            <w:r w:rsidRPr="00094729">
              <w:rPr>
                <w:rFonts w:eastAsia="標楷體" w:cs="標楷體-WinCharSetFFFF-H" w:hint="eastAsia"/>
                <w:color w:val="000000" w:themeColor="text1"/>
                <w:sz w:val="28"/>
                <w:szCs w:val="28"/>
              </w:rPr>
              <w:t>災害指下列災難所造成之禍害：</w:t>
            </w:r>
          </w:p>
          <w:p w:rsidR="00050337" w:rsidRPr="00094729" w:rsidRDefault="00050337" w:rsidP="000549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風災、水災、震災（含土壤液</w:t>
            </w:r>
            <w:r w:rsidR="00E34BE2"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化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）、旱災、</w:t>
            </w:r>
            <w:proofErr w:type="gramStart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寒害</w:t>
            </w:r>
            <w:proofErr w:type="gramEnd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、土石流</w:t>
            </w:r>
            <w:r w:rsidR="0005153A"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及大規模崩塌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災害</w:t>
            </w:r>
            <w:r w:rsidR="00250B52"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、火山災害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等天然災害。</w:t>
            </w:r>
          </w:p>
          <w:p w:rsidR="00050337" w:rsidRPr="00094729" w:rsidRDefault="00050337" w:rsidP="000549B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cs="標楷體-WinCharSetFFFF-H"/>
                <w:color w:val="000000" w:themeColor="text1"/>
                <w:sz w:val="28"/>
                <w:szCs w:val="28"/>
              </w:rPr>
              <w:t>2.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火災、爆炸、公用氣體與油料管線、輸電線路災害、礦災、空難、海難、陸上交通事故、森林火災、毒性</w:t>
            </w:r>
            <w:r w:rsidR="00B434CB"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及關注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化學物質災害、生物病原災害、動植物</w:t>
            </w:r>
            <w:proofErr w:type="gramStart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災、輻射災害、工業管線災害</w:t>
            </w:r>
            <w:r w:rsidR="0005153A"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、懸浮</w:t>
            </w:r>
            <w:r w:rsidR="00B206E9"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微</w:t>
            </w:r>
            <w:r w:rsidR="0005153A"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粒物質災害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等災害。</w:t>
            </w:r>
          </w:p>
        </w:tc>
        <w:tc>
          <w:tcPr>
            <w:tcW w:w="1559" w:type="dxa"/>
            <w:gridSpan w:val="2"/>
            <w:vMerge w:val="restart"/>
          </w:tcPr>
          <w:p w:rsidR="00050337" w:rsidRPr="00094729" w:rsidRDefault="00050337" w:rsidP="000549B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1小時/</w:t>
            </w:r>
          </w:p>
          <w:p w:rsidR="00050337" w:rsidRPr="00094729" w:rsidRDefault="00050337" w:rsidP="000549B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支用機關</w:t>
            </w:r>
          </w:p>
        </w:tc>
      </w:tr>
      <w:tr w:rsidR="00B434CB" w:rsidRPr="007560E6" w:rsidTr="00B954CE">
        <w:tc>
          <w:tcPr>
            <w:tcW w:w="846" w:type="dxa"/>
            <w:vMerge/>
          </w:tcPr>
          <w:p w:rsidR="00B434CB" w:rsidRPr="007560E6" w:rsidRDefault="00B434CB" w:rsidP="000549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4CE" w:rsidRPr="00094729" w:rsidRDefault="00B954CE" w:rsidP="00B954C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B434CB"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開立</w:t>
            </w:r>
          </w:p>
          <w:p w:rsidR="00B434CB" w:rsidRPr="00094729" w:rsidRDefault="00B954CE" w:rsidP="00B954C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434CB"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付款憑單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或借據</w:t>
            </w:r>
          </w:p>
        </w:tc>
        <w:tc>
          <w:tcPr>
            <w:tcW w:w="5386" w:type="dxa"/>
          </w:tcPr>
          <w:p w:rsidR="00C82A55" w:rsidRPr="00094729" w:rsidRDefault="00C82A55" w:rsidP="00C82A55">
            <w:pPr>
              <w:pStyle w:val="Default"/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1.支用機關開立付款憑單，受款人為負責承辦之領款人，經該機關首長或其授權</w:t>
            </w:r>
            <w:proofErr w:type="gramStart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代簽人</w:t>
            </w:r>
            <w:r w:rsidR="00546F05" w:rsidRPr="00094729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及</w:t>
            </w:r>
            <w:proofErr w:type="gramEnd"/>
            <w:r w:rsidR="00546F05" w:rsidRPr="00094729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主辦會計人員</w:t>
            </w: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簽證後，</w:t>
            </w:r>
            <w:proofErr w:type="gramStart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送</w:t>
            </w:r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本府</w:t>
            </w: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財政局</w:t>
            </w:r>
            <w:r w:rsidR="00B954CE" w:rsidRPr="00094729">
              <w:rPr>
                <w:rFonts w:eastAsia="標楷體" w:cs="標楷體-WinCharSetFFFF-H" w:hint="eastAsia"/>
                <w:color w:val="000000" w:themeColor="text1"/>
                <w:sz w:val="28"/>
                <w:szCs w:val="28"/>
              </w:rPr>
              <w:t>（</w:t>
            </w:r>
            <w:r w:rsidR="00B954CE" w:rsidRPr="00094729">
              <w:rPr>
                <w:rFonts w:eastAsia="標楷體" w:cs="標楷體-WinCharSetFFFF-H" w:hint="eastAsia"/>
                <w:color w:val="000000" w:themeColor="text1"/>
                <w:sz w:val="28"/>
                <w:szCs w:val="28"/>
                <w:lang w:eastAsia="zh-HK"/>
              </w:rPr>
              <w:t>以下簡稱財政局</w:t>
            </w:r>
            <w:r w:rsidR="00B954CE" w:rsidRPr="00094729">
              <w:rPr>
                <w:rFonts w:eastAsia="標楷體" w:cs="標楷體-WinCharSetFFFF-H" w:hint="eastAsia"/>
                <w:color w:val="000000" w:themeColor="text1"/>
                <w:sz w:val="28"/>
                <w:szCs w:val="28"/>
              </w:rPr>
              <w:t>）</w:t>
            </w: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集中支付</w:t>
            </w:r>
            <w:proofErr w:type="gramStart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科憑辦</w:t>
            </w:r>
            <w:proofErr w:type="gramEnd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954CE" w:rsidRPr="00094729" w:rsidRDefault="00C82A55" w:rsidP="001F0DC6">
            <w:pPr>
              <w:pStyle w:val="Default"/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支用機關無法開立付款憑單時，得填寫非營業時間動支庫款借據</w:t>
            </w:r>
            <w:r w:rsidR="00D868FF" w:rsidRPr="00094729">
              <w:rPr>
                <w:rFonts w:eastAsia="標楷體" w:cs="標楷體-WinCharSetFFFF-H" w:hint="eastAsia"/>
                <w:color w:val="000000" w:themeColor="text1"/>
                <w:sz w:val="28"/>
                <w:szCs w:val="28"/>
              </w:rPr>
              <w:t>（</w:t>
            </w:r>
            <w:r w:rsidR="00D868FF" w:rsidRPr="00094729">
              <w:rPr>
                <w:rFonts w:eastAsia="標楷體" w:cs="標楷體-WinCharSetFFFF-H" w:hint="eastAsia"/>
                <w:color w:val="000000" w:themeColor="text1"/>
                <w:sz w:val="28"/>
                <w:szCs w:val="28"/>
                <w:lang w:eastAsia="zh-HK"/>
              </w:rPr>
              <w:t>以下簡稱借據</w:t>
            </w:r>
            <w:r w:rsidR="00D868FF" w:rsidRPr="00094729">
              <w:rPr>
                <w:rFonts w:eastAsia="標楷體" w:cs="標楷體-WinCharSetFFFF-H"/>
                <w:color w:val="000000" w:themeColor="text1"/>
                <w:sz w:val="28"/>
                <w:szCs w:val="28"/>
                <w:lang w:eastAsia="zh-HK"/>
              </w:rPr>
              <w:t>）</w:t>
            </w:r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該機關首長或其授權代</w:t>
            </w:r>
            <w:proofErr w:type="gramStart"/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簽人親簽</w:t>
            </w:r>
            <w:proofErr w:type="gramEnd"/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，送財政局集中支付</w:t>
            </w:r>
            <w:proofErr w:type="gramStart"/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科憑辦</w:t>
            </w:r>
            <w:proofErr w:type="gramEnd"/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434CB" w:rsidRPr="00094729" w:rsidRDefault="00B954CE" w:rsidP="001F0DC6">
            <w:pPr>
              <w:pStyle w:val="Default"/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 w:rsidR="00C82A55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最高</w:t>
            </w:r>
            <w:r w:rsidR="00A25D1D" w:rsidRPr="00094729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動支</w:t>
            </w:r>
            <w:r w:rsidR="00C82A55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額度以新臺幣1,0</w:t>
            </w:r>
            <w:r w:rsidR="00C82A55" w:rsidRPr="00094729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  <w:r w:rsidR="00C82A55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萬元為限。</w:t>
            </w:r>
          </w:p>
          <w:p w:rsidR="00A25D1D" w:rsidRPr="00094729" w:rsidRDefault="00A25D1D" w:rsidP="001F0DC6">
            <w:pPr>
              <w:pStyle w:val="Default"/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434CB" w:rsidRPr="00094729" w:rsidRDefault="00B434CB" w:rsidP="000549B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54CE" w:rsidRPr="007560E6" w:rsidTr="00B954CE">
        <w:tc>
          <w:tcPr>
            <w:tcW w:w="846" w:type="dxa"/>
            <w:vMerge/>
          </w:tcPr>
          <w:p w:rsidR="00B954CE" w:rsidRPr="007560E6" w:rsidRDefault="00B954CE" w:rsidP="000549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54CE" w:rsidRPr="00094729" w:rsidRDefault="00B954CE" w:rsidP="00B954C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3.通知財政</w:t>
            </w:r>
          </w:p>
          <w:p w:rsidR="00B954CE" w:rsidRPr="00094729" w:rsidRDefault="00B954CE" w:rsidP="00B954CE">
            <w:pPr>
              <w:pStyle w:val="a4"/>
              <w:spacing w:line="40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局</w:t>
            </w:r>
          </w:p>
        </w:tc>
        <w:tc>
          <w:tcPr>
            <w:tcW w:w="5386" w:type="dxa"/>
          </w:tcPr>
          <w:p w:rsidR="00094602" w:rsidRPr="00094729" w:rsidRDefault="00094602" w:rsidP="00094602">
            <w:pPr>
              <w:pStyle w:val="Default"/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1.支用機關通知財政局負責聯絡人員，調度庫款。</w:t>
            </w:r>
          </w:p>
          <w:p w:rsidR="00094602" w:rsidRPr="00094729" w:rsidRDefault="00094602" w:rsidP="00094602">
            <w:pPr>
              <w:pStyle w:val="Default"/>
              <w:spacing w:line="400" w:lineRule="exact"/>
              <w:ind w:left="280" w:hangingChars="100" w:hanging="28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2.支用機關指定負責承辦人員，以便連</w:t>
            </w:r>
            <w:proofErr w:type="gramStart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繫</w:t>
            </w:r>
            <w:proofErr w:type="gramEnd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954CE" w:rsidRPr="00094729" w:rsidRDefault="00B954CE" w:rsidP="00B954CE">
            <w:pPr>
              <w:pStyle w:val="Default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954CE" w:rsidRPr="00094729" w:rsidRDefault="00B954CE" w:rsidP="000549B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54CE" w:rsidRPr="007560E6" w:rsidTr="00B954CE">
        <w:tc>
          <w:tcPr>
            <w:tcW w:w="846" w:type="dxa"/>
          </w:tcPr>
          <w:p w:rsidR="00B954CE" w:rsidRDefault="00B954C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B954CE" w:rsidRPr="007560E6" w:rsidRDefault="00B954C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:rsidR="00B954CE" w:rsidRDefault="00B954C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  <w:p w:rsidR="00B954CE" w:rsidRPr="007560E6" w:rsidRDefault="00B954C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76" w:type="dxa"/>
          </w:tcPr>
          <w:p w:rsidR="00B954CE" w:rsidRPr="00094729" w:rsidRDefault="00B954CE" w:rsidP="00B954C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4.辦理動支</w:t>
            </w:r>
          </w:p>
        </w:tc>
        <w:tc>
          <w:tcPr>
            <w:tcW w:w="5386" w:type="dxa"/>
          </w:tcPr>
          <w:p w:rsidR="00B954CE" w:rsidRPr="00094729" w:rsidRDefault="00C033AD" w:rsidP="00680D8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財政局</w:t>
            </w: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集中支付科</w:t>
            </w:r>
            <w:r w:rsidR="00B954CE"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接獲支用機關通知，即通報財政局局長或其授權代簽人或財政局局長職務代理人，並依指示向臺灣銀行桃園分行辦理動支庫款事宜。</w:t>
            </w:r>
          </w:p>
        </w:tc>
        <w:tc>
          <w:tcPr>
            <w:tcW w:w="1559" w:type="dxa"/>
            <w:gridSpan w:val="2"/>
          </w:tcPr>
          <w:p w:rsidR="00B954CE" w:rsidRPr="00094729" w:rsidRDefault="00B954CE" w:rsidP="00B954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4小時/</w:t>
            </w:r>
          </w:p>
          <w:p w:rsidR="00B954CE" w:rsidRPr="00094729" w:rsidRDefault="00B954CE" w:rsidP="00B954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財政局</w:t>
            </w:r>
          </w:p>
          <w:p w:rsidR="00B954CE" w:rsidRPr="00094729" w:rsidRDefault="00B954CE" w:rsidP="00B954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支用機關</w:t>
            </w:r>
          </w:p>
        </w:tc>
      </w:tr>
      <w:tr w:rsidR="00B954CE" w:rsidRPr="007560E6" w:rsidTr="00B954CE">
        <w:tc>
          <w:tcPr>
            <w:tcW w:w="846" w:type="dxa"/>
          </w:tcPr>
          <w:p w:rsidR="00B954CE" w:rsidRPr="007560E6" w:rsidRDefault="00B954CE" w:rsidP="00B954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作業階段</w:t>
            </w:r>
          </w:p>
        </w:tc>
        <w:tc>
          <w:tcPr>
            <w:tcW w:w="1276" w:type="dxa"/>
          </w:tcPr>
          <w:p w:rsidR="00B954CE" w:rsidRPr="00094729" w:rsidRDefault="00B954CE" w:rsidP="00B954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</w:t>
            </w:r>
          </w:p>
          <w:p w:rsidR="00B954CE" w:rsidRPr="00094729" w:rsidRDefault="00B954CE" w:rsidP="00B954CE">
            <w:pPr>
              <w:spacing w:line="400" w:lineRule="exact"/>
              <w:ind w:left="280" w:right="280" w:hangingChars="100" w:hanging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5386" w:type="dxa"/>
          </w:tcPr>
          <w:p w:rsidR="00B954CE" w:rsidRPr="00094729" w:rsidRDefault="00B954CE" w:rsidP="00A0426E">
            <w:pP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步驟說明</w:t>
            </w:r>
          </w:p>
        </w:tc>
        <w:tc>
          <w:tcPr>
            <w:tcW w:w="1559" w:type="dxa"/>
            <w:gridSpan w:val="2"/>
          </w:tcPr>
          <w:p w:rsidR="00B954CE" w:rsidRPr="00094729" w:rsidRDefault="00A0426E" w:rsidP="00B954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作業期限/權責機關</w:t>
            </w:r>
          </w:p>
        </w:tc>
      </w:tr>
      <w:tr w:rsidR="00094729" w:rsidRPr="00094729" w:rsidTr="00B954CE">
        <w:trPr>
          <w:gridAfter w:val="1"/>
          <w:wAfter w:w="7" w:type="dxa"/>
        </w:trPr>
        <w:tc>
          <w:tcPr>
            <w:tcW w:w="846" w:type="dxa"/>
            <w:vMerge w:val="restart"/>
          </w:tcPr>
          <w:p w:rsidR="00A0426E" w:rsidRDefault="00A0426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A0426E" w:rsidRPr="007560E6" w:rsidRDefault="00A0426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:rsidR="00A0426E" w:rsidRDefault="00A0426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  <w:p w:rsidR="00A0426E" w:rsidRPr="007560E6" w:rsidRDefault="00A0426E" w:rsidP="00A042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0E6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76" w:type="dxa"/>
          </w:tcPr>
          <w:p w:rsidR="00A0426E" w:rsidRPr="00094729" w:rsidRDefault="00A0426E" w:rsidP="00287FA4">
            <w:pPr>
              <w:spacing w:line="400" w:lineRule="exact"/>
              <w:ind w:leftChars="-45" w:left="245" w:hangingChars="126" w:hanging="35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5.1</w:t>
            </w:r>
            <w:proofErr w:type="gramStart"/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簽開</w:t>
            </w:r>
            <w:proofErr w:type="gramEnd"/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0947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市庫支票</w:t>
            </w:r>
          </w:p>
        </w:tc>
        <w:tc>
          <w:tcPr>
            <w:tcW w:w="5386" w:type="dxa"/>
          </w:tcPr>
          <w:p w:rsidR="00A0426E" w:rsidRPr="00094729" w:rsidRDefault="00A0426E" w:rsidP="00A25D1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由財政局</w:t>
            </w:r>
            <w:r w:rsidR="00C033AD"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  <w:lang w:eastAsia="zh-HK"/>
              </w:rPr>
              <w:t>集中支付科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依據支用機關開立之付款憑單或借據簽開市庫支票，支票</w:t>
            </w:r>
            <w:proofErr w:type="gramStart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應蓋具財政局</w:t>
            </w:r>
            <w:proofErr w:type="gramEnd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局長及集中支付科科長印鑑。</w:t>
            </w:r>
          </w:p>
        </w:tc>
        <w:tc>
          <w:tcPr>
            <w:tcW w:w="1552" w:type="dxa"/>
            <w:vMerge w:val="restart"/>
          </w:tcPr>
          <w:p w:rsidR="00A0426E" w:rsidRPr="00094729" w:rsidRDefault="00A0426E" w:rsidP="00DB2A6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94729" w:rsidRPr="00094729" w:rsidTr="00B954CE">
        <w:trPr>
          <w:gridAfter w:val="1"/>
          <w:wAfter w:w="7" w:type="dxa"/>
        </w:trPr>
        <w:tc>
          <w:tcPr>
            <w:tcW w:w="846" w:type="dxa"/>
            <w:vMerge/>
          </w:tcPr>
          <w:p w:rsidR="00A0426E" w:rsidRPr="007560E6" w:rsidRDefault="00A0426E" w:rsidP="00B954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26E" w:rsidRPr="00094729" w:rsidRDefault="00A0426E" w:rsidP="00B954CE">
            <w:pPr>
              <w:spacing w:line="400" w:lineRule="exact"/>
              <w:ind w:left="280" w:hangingChars="100" w:hanging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5.2填具切結</w:t>
            </w:r>
          </w:p>
          <w:p w:rsidR="00A0426E" w:rsidRPr="00094729" w:rsidRDefault="00A0426E" w:rsidP="00287FA4">
            <w:pPr>
              <w:spacing w:line="400" w:lineRule="exact"/>
              <w:ind w:left="280" w:right="280" w:hangingChars="100" w:hanging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</w:t>
            </w:r>
          </w:p>
        </w:tc>
        <w:tc>
          <w:tcPr>
            <w:tcW w:w="5386" w:type="dxa"/>
          </w:tcPr>
          <w:p w:rsidR="00A0426E" w:rsidRPr="00094729" w:rsidRDefault="00A0426E" w:rsidP="00C033A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-WinCharSetFFFF-H"/>
                <w:color w:val="000000" w:themeColor="text1"/>
                <w:kern w:val="0"/>
                <w:sz w:val="28"/>
                <w:szCs w:val="28"/>
              </w:rPr>
            </w:pP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財政局</w:t>
            </w:r>
            <w:r w:rsidR="00C033AD" w:rsidRPr="00094729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集中支付科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無法簽開市庫支票時，得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填具切結書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，經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財政局局長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或其授權</w:t>
            </w:r>
            <w:proofErr w:type="gramStart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代簽人或</w:t>
            </w:r>
            <w:proofErr w:type="gramEnd"/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財政局局長職務代理人</w:t>
            </w:r>
            <w:proofErr w:type="gramStart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於切結書親簽</w:t>
            </w:r>
            <w:proofErr w:type="gramEnd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52" w:type="dxa"/>
            <w:vMerge/>
          </w:tcPr>
          <w:p w:rsidR="00A0426E" w:rsidRPr="00094729" w:rsidRDefault="00A0426E" w:rsidP="00DB2A6B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094729" w:rsidRPr="00094729" w:rsidTr="00B954CE">
        <w:trPr>
          <w:gridAfter w:val="1"/>
          <w:wAfter w:w="7" w:type="dxa"/>
        </w:trPr>
        <w:tc>
          <w:tcPr>
            <w:tcW w:w="846" w:type="dxa"/>
            <w:vMerge/>
          </w:tcPr>
          <w:p w:rsidR="00A0426E" w:rsidRPr="007560E6" w:rsidRDefault="00A0426E" w:rsidP="00B954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26E" w:rsidRPr="00094729" w:rsidRDefault="00A0426E" w:rsidP="00DB2A6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6.至</w:t>
            </w:r>
            <w:proofErr w:type="gramStart"/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銀領款並交付款項</w:t>
            </w:r>
          </w:p>
        </w:tc>
        <w:tc>
          <w:tcPr>
            <w:tcW w:w="5386" w:type="dxa"/>
          </w:tcPr>
          <w:p w:rsidR="00A0426E" w:rsidRPr="00094729" w:rsidRDefault="00A0426E" w:rsidP="00DB2A6B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1.財政局</w:t>
            </w:r>
            <w:r w:rsidR="00C033AD"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集中支付科</w:t>
            </w:r>
            <w:r w:rsidR="005C06E0"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人員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會同支用機關負責承辦之領款人，並</w:t>
            </w:r>
            <w:proofErr w:type="gramStart"/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囑</w:t>
            </w:r>
            <w:proofErr w:type="gramEnd"/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其攜帶附有照片之身分證明及印章，至臺灣銀行桃園分行交付市庫支票或切結書後辦理領款</w:t>
            </w:r>
            <w:r w:rsidR="006079F2"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A0426E" w:rsidRPr="00094729" w:rsidRDefault="00A0426E" w:rsidP="00DB2A6B">
            <w:pPr>
              <w:pStyle w:val="Default"/>
              <w:spacing w:line="400" w:lineRule="exact"/>
              <w:ind w:left="280" w:hangingChars="100" w:hanging="280"/>
              <w:rPr>
                <w:rFonts w:eastAsia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094729">
              <w:rPr>
                <w:rFonts w:eastAsia="標楷體" w:cstheme="minorBidi" w:hint="eastAsia"/>
                <w:color w:val="000000" w:themeColor="text1"/>
                <w:kern w:val="2"/>
                <w:sz w:val="28"/>
                <w:szCs w:val="28"/>
              </w:rPr>
              <w:t>2.支用機關使用借據辦理動支領款</w:t>
            </w:r>
            <w:r w:rsidR="0081367B" w:rsidRPr="00094729">
              <w:rPr>
                <w:rFonts w:eastAsia="標楷體" w:cstheme="minorBidi" w:hint="eastAsia"/>
                <w:color w:val="000000" w:themeColor="text1"/>
                <w:kern w:val="2"/>
                <w:sz w:val="28"/>
                <w:szCs w:val="28"/>
                <w:lang w:eastAsia="zh-HK"/>
              </w:rPr>
              <w:t>時</w:t>
            </w:r>
            <w:r w:rsidRPr="00094729">
              <w:rPr>
                <w:rFonts w:eastAsia="標楷體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="004D6AF4" w:rsidRPr="00094729">
              <w:rPr>
                <w:rFonts w:eastAsia="標楷體" w:cstheme="minorBidi" w:hint="eastAsia"/>
                <w:color w:val="000000" w:themeColor="text1"/>
                <w:kern w:val="2"/>
                <w:sz w:val="28"/>
                <w:szCs w:val="28"/>
                <w:lang w:eastAsia="zh-HK"/>
              </w:rPr>
              <w:t>應</w:t>
            </w:r>
            <w:r w:rsidRPr="00094729">
              <w:rPr>
                <w:rFonts w:eastAsia="標楷體" w:cstheme="minorBidi" w:hint="eastAsia"/>
                <w:color w:val="000000" w:themeColor="text1"/>
                <w:kern w:val="2"/>
                <w:sz w:val="28"/>
                <w:szCs w:val="28"/>
              </w:rPr>
              <w:t>於清點現金數額正確無誤後，當場於該借據</w:t>
            </w:r>
            <w:r w:rsidR="004D6AF4" w:rsidRPr="00094729">
              <w:rPr>
                <w:rFonts w:eastAsia="標楷體" w:cstheme="minorBidi" w:hint="eastAsia"/>
                <w:color w:val="000000" w:themeColor="text1"/>
                <w:kern w:val="2"/>
                <w:sz w:val="28"/>
                <w:szCs w:val="28"/>
                <w:lang w:eastAsia="zh-HK"/>
              </w:rPr>
              <w:t>上</w:t>
            </w:r>
            <w:r w:rsidRPr="00094729">
              <w:rPr>
                <w:rFonts w:eastAsia="標楷體" w:cstheme="minorBidi" w:hint="eastAsia"/>
                <w:color w:val="000000" w:themeColor="text1"/>
                <w:kern w:val="2"/>
                <w:sz w:val="28"/>
                <w:szCs w:val="28"/>
              </w:rPr>
              <w:t>簽收。</w:t>
            </w:r>
          </w:p>
          <w:p w:rsidR="00A0426E" w:rsidRPr="00094729" w:rsidRDefault="00A0426E" w:rsidP="00DB2A6B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3.支用</w:t>
            </w:r>
            <w:r w:rsidRPr="000947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機關視實際需要，先行洽請警察機關派員協助護鈔運送至指定地點。 </w:t>
            </w:r>
          </w:p>
        </w:tc>
        <w:tc>
          <w:tcPr>
            <w:tcW w:w="1552" w:type="dxa"/>
            <w:vMerge/>
          </w:tcPr>
          <w:p w:rsidR="00A0426E" w:rsidRPr="00094729" w:rsidRDefault="00A0426E" w:rsidP="00B954CE">
            <w:pPr>
              <w:rPr>
                <w:color w:val="000000" w:themeColor="text1"/>
              </w:rPr>
            </w:pPr>
          </w:p>
        </w:tc>
      </w:tr>
      <w:tr w:rsidR="00094729" w:rsidRPr="00094729" w:rsidTr="00B954CE">
        <w:trPr>
          <w:gridAfter w:val="1"/>
          <w:wAfter w:w="7" w:type="dxa"/>
        </w:trPr>
        <w:tc>
          <w:tcPr>
            <w:tcW w:w="846" w:type="dxa"/>
            <w:vMerge w:val="restart"/>
          </w:tcPr>
          <w:p w:rsidR="00DB2A6B" w:rsidRDefault="00DB2A6B" w:rsidP="00B954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FCD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</w:p>
          <w:p w:rsidR="00DB2A6B" w:rsidRDefault="00DB2A6B" w:rsidP="00B954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FCD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</w:p>
          <w:p w:rsidR="00DB2A6B" w:rsidRDefault="00DB2A6B" w:rsidP="00B954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FCD">
              <w:rPr>
                <w:rFonts w:ascii="標楷體" w:eastAsia="標楷體" w:hAnsi="標楷體" w:hint="eastAsia"/>
                <w:sz w:val="28"/>
                <w:szCs w:val="28"/>
              </w:rPr>
              <w:t>階</w:t>
            </w:r>
          </w:p>
          <w:p w:rsidR="00DB2A6B" w:rsidRDefault="00DB2A6B" w:rsidP="00B954CE">
            <w:pPr>
              <w:spacing w:line="400" w:lineRule="exact"/>
              <w:jc w:val="center"/>
            </w:pPr>
            <w:r w:rsidRPr="00680FCD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76" w:type="dxa"/>
          </w:tcPr>
          <w:p w:rsidR="00DB2A6B" w:rsidRPr="00094729" w:rsidRDefault="00DB2A6B" w:rsidP="00B954CE">
            <w:pPr>
              <w:spacing w:line="400" w:lineRule="exact"/>
              <w:ind w:left="280" w:hangingChars="100" w:hanging="28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7.1補開付款憑單取回借據</w:t>
            </w:r>
          </w:p>
        </w:tc>
        <w:tc>
          <w:tcPr>
            <w:tcW w:w="5386" w:type="dxa"/>
          </w:tcPr>
          <w:p w:rsidR="00DB2A6B" w:rsidRPr="00094729" w:rsidRDefault="00DB2A6B" w:rsidP="00B954CE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1</w:t>
            </w:r>
            <w:r w:rsidRPr="00094729">
              <w:rPr>
                <w:rFonts w:ascii="標楷體" w:eastAsia="標楷體" w:hAnsi="標楷體" w:cs="標楷體-WinCharSetFFFF-H"/>
                <w:color w:val="000000" w:themeColor="text1"/>
                <w:sz w:val="28"/>
                <w:szCs w:val="28"/>
              </w:rPr>
              <w:t>.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sz w:val="28"/>
                <w:szCs w:val="28"/>
              </w:rPr>
              <w:t>支用機關使用借據辦理動支者</w:t>
            </w:r>
            <w:r w:rsidRPr="000947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應於災後第一個工作日內，</w:t>
            </w:r>
            <w:proofErr w:type="gramStart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補開受款</w:t>
            </w:r>
            <w:proofErr w:type="gramEnd"/>
            <w:r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</w:rPr>
              <w:t>人為負責承辦領款人之付款憑單，送財政局</w:t>
            </w:r>
            <w:r w:rsidR="006079F2" w:rsidRPr="0009472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集中支付科</w:t>
            </w:r>
            <w:r w:rsidRPr="000947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DB2A6B" w:rsidRPr="00094729" w:rsidRDefault="00DB2A6B" w:rsidP="00B954CE">
            <w:pPr>
              <w:pStyle w:val="Default"/>
              <w:spacing w:line="400" w:lineRule="exact"/>
              <w:ind w:left="280" w:hangingChars="100" w:hanging="280"/>
              <w:jc w:val="both"/>
              <w:rPr>
                <w:color w:val="000000" w:themeColor="text1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2.財政局人員確認收到支用機關合格之付款憑單後</w:t>
            </w:r>
            <w:r w:rsidRPr="00094729">
              <w:rPr>
                <w:rFonts w:eastAsia="標楷體" w:cs="標楷體-WinCharSetFFFF-H" w:hint="eastAsia"/>
                <w:color w:val="000000" w:themeColor="text1"/>
                <w:sz w:val="28"/>
                <w:szCs w:val="28"/>
              </w:rPr>
              <w:t>，即通知該機關取回借據</w:t>
            </w:r>
            <w:r w:rsidRPr="0009472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552" w:type="dxa"/>
            <w:vMerge w:val="restart"/>
          </w:tcPr>
          <w:p w:rsidR="00DB2A6B" w:rsidRPr="00094729" w:rsidRDefault="00DB2A6B" w:rsidP="00B954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1天/</w:t>
            </w:r>
          </w:p>
          <w:p w:rsidR="00DB2A6B" w:rsidRPr="00094729" w:rsidRDefault="00DB2A6B" w:rsidP="00B954C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支用機關</w:t>
            </w:r>
          </w:p>
          <w:p w:rsidR="00DB2A6B" w:rsidRPr="00094729" w:rsidRDefault="00DB2A6B" w:rsidP="00B954CE">
            <w:pPr>
              <w:spacing w:line="400" w:lineRule="exact"/>
              <w:rPr>
                <w:color w:val="000000" w:themeColor="text1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財政局</w:t>
            </w:r>
          </w:p>
        </w:tc>
      </w:tr>
      <w:tr w:rsidR="00094729" w:rsidRPr="00094729" w:rsidTr="00B954CE">
        <w:trPr>
          <w:gridAfter w:val="1"/>
          <w:wAfter w:w="7" w:type="dxa"/>
        </w:trPr>
        <w:tc>
          <w:tcPr>
            <w:tcW w:w="846" w:type="dxa"/>
            <w:vMerge/>
          </w:tcPr>
          <w:p w:rsidR="00DB2A6B" w:rsidRPr="00680FCD" w:rsidRDefault="00DB2A6B" w:rsidP="00B954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A6B" w:rsidRPr="00094729" w:rsidRDefault="00DB2A6B" w:rsidP="00B954CE">
            <w:pPr>
              <w:spacing w:line="400" w:lineRule="exact"/>
              <w:ind w:left="280" w:hangingChars="100" w:hanging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7.2開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立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支票取回切結</w:t>
            </w:r>
          </w:p>
          <w:p w:rsidR="00DB2A6B" w:rsidRPr="00094729" w:rsidRDefault="00DB2A6B" w:rsidP="00DB2A6B">
            <w:pPr>
              <w:spacing w:line="400" w:lineRule="exact"/>
              <w:ind w:left="280" w:right="280" w:hangingChars="100" w:hanging="2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</w:t>
            </w:r>
          </w:p>
        </w:tc>
        <w:tc>
          <w:tcPr>
            <w:tcW w:w="5386" w:type="dxa"/>
          </w:tcPr>
          <w:p w:rsidR="00DB2A6B" w:rsidRPr="00094729" w:rsidRDefault="00DB2A6B" w:rsidP="009079C3">
            <w:pPr>
              <w:pStyle w:val="Default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以切結書方式交付臺灣銀行桃園分行辦理領款者</w:t>
            </w:r>
            <w:r w:rsidRPr="00094729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財政局集中支付科應於災後第一個工作日開具</w:t>
            </w:r>
            <w:proofErr w:type="gramStart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同額市庫</w:t>
            </w:r>
            <w:proofErr w:type="gramEnd"/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支票，受款人為支用機關負責承辦之領款人，</w:t>
            </w:r>
            <w:r w:rsidRPr="00094729">
              <w:rPr>
                <w:rFonts w:eastAsia="標楷體"/>
                <w:color w:val="000000" w:themeColor="text1"/>
                <w:sz w:val="28"/>
                <w:szCs w:val="28"/>
              </w:rPr>
              <w:t>交臺灣銀行</w:t>
            </w:r>
            <w:r w:rsidRPr="00094729">
              <w:rPr>
                <w:rFonts w:eastAsia="標楷體" w:hint="eastAsia"/>
                <w:color w:val="000000" w:themeColor="text1"/>
                <w:sz w:val="28"/>
                <w:szCs w:val="28"/>
              </w:rPr>
              <w:t>桃園</w:t>
            </w:r>
            <w:r w:rsidRPr="00094729">
              <w:rPr>
                <w:rFonts w:eastAsia="標楷體"/>
                <w:color w:val="000000" w:themeColor="text1"/>
                <w:sz w:val="28"/>
                <w:szCs w:val="28"/>
              </w:rPr>
              <w:t>分行，並取回切結書。</w:t>
            </w:r>
          </w:p>
        </w:tc>
        <w:tc>
          <w:tcPr>
            <w:tcW w:w="1552" w:type="dxa"/>
            <w:vMerge/>
          </w:tcPr>
          <w:p w:rsidR="00DB2A6B" w:rsidRPr="00094729" w:rsidRDefault="00DB2A6B" w:rsidP="00B954CE">
            <w:pPr>
              <w:spacing w:line="400" w:lineRule="exact"/>
              <w:rPr>
                <w:color w:val="000000" w:themeColor="text1"/>
              </w:rPr>
            </w:pPr>
          </w:p>
        </w:tc>
      </w:tr>
      <w:tr w:rsidR="00094729" w:rsidRPr="00094729" w:rsidTr="001E0EEB">
        <w:trPr>
          <w:gridAfter w:val="1"/>
          <w:wAfter w:w="7" w:type="dxa"/>
          <w:trHeight w:val="810"/>
        </w:trPr>
        <w:tc>
          <w:tcPr>
            <w:tcW w:w="846" w:type="dxa"/>
            <w:vMerge/>
          </w:tcPr>
          <w:p w:rsidR="00DB2A6B" w:rsidRDefault="00DB2A6B" w:rsidP="00B954CE">
            <w:pPr>
              <w:spacing w:line="400" w:lineRule="exact"/>
            </w:pPr>
          </w:p>
        </w:tc>
        <w:tc>
          <w:tcPr>
            <w:tcW w:w="1276" w:type="dxa"/>
          </w:tcPr>
          <w:p w:rsidR="00DB2A6B" w:rsidRPr="00094729" w:rsidRDefault="00DB2A6B" w:rsidP="00DB2A6B">
            <w:pPr>
              <w:spacing w:line="400" w:lineRule="exact"/>
              <w:ind w:left="280" w:hangingChars="100" w:hanging="280"/>
              <w:rPr>
                <w:color w:val="000000" w:themeColor="text1"/>
              </w:rPr>
            </w:pP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8.結案</w:t>
            </w:r>
          </w:p>
        </w:tc>
        <w:tc>
          <w:tcPr>
            <w:tcW w:w="5386" w:type="dxa"/>
          </w:tcPr>
          <w:p w:rsidR="00DB2A6B" w:rsidRPr="00094729" w:rsidRDefault="00DB2A6B" w:rsidP="00B954CE">
            <w:pPr>
              <w:spacing w:line="400" w:lineRule="exact"/>
              <w:rPr>
                <w:color w:val="000000" w:themeColor="text1"/>
              </w:rPr>
            </w:pPr>
            <w:r w:rsidRPr="000947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切結書</w:t>
            </w:r>
            <w:r w:rsidRPr="000947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及相關資料</w:t>
            </w:r>
            <w:r w:rsidRPr="000947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歸檔備查。</w:t>
            </w:r>
          </w:p>
        </w:tc>
        <w:tc>
          <w:tcPr>
            <w:tcW w:w="1552" w:type="dxa"/>
            <w:vMerge/>
          </w:tcPr>
          <w:p w:rsidR="00DB2A6B" w:rsidRPr="00094729" w:rsidRDefault="00DB2A6B" w:rsidP="00B954CE">
            <w:pPr>
              <w:rPr>
                <w:color w:val="000000" w:themeColor="text1"/>
              </w:rPr>
            </w:pPr>
          </w:p>
        </w:tc>
      </w:tr>
    </w:tbl>
    <w:p w:rsidR="00531618" w:rsidRDefault="00531618" w:rsidP="00DB2A6B"/>
    <w:sectPr w:rsidR="00531618" w:rsidSect="00E34BE2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4A" w:rsidRDefault="00EE124A" w:rsidP="008277DB">
      <w:r>
        <w:separator/>
      </w:r>
    </w:p>
  </w:endnote>
  <w:endnote w:type="continuationSeparator" w:id="0">
    <w:p w:rsidR="00EE124A" w:rsidRDefault="00EE124A" w:rsidP="0082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17663"/>
      <w:docPartObj>
        <w:docPartGallery w:val="Page Numbers (Bottom of Page)"/>
        <w:docPartUnique/>
      </w:docPartObj>
    </w:sdtPr>
    <w:sdtEndPr/>
    <w:sdtContent>
      <w:p w:rsidR="00B56E85" w:rsidRDefault="00B56E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99" w:rsidRPr="00123399">
          <w:rPr>
            <w:noProof/>
            <w:lang w:val="zh-TW"/>
          </w:rPr>
          <w:t>2</w:t>
        </w:r>
        <w:r>
          <w:fldChar w:fldCharType="end"/>
        </w:r>
      </w:p>
    </w:sdtContent>
  </w:sdt>
  <w:p w:rsidR="00B56E85" w:rsidRDefault="00B56E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4A" w:rsidRDefault="00EE124A" w:rsidP="008277DB">
      <w:r>
        <w:separator/>
      </w:r>
    </w:p>
  </w:footnote>
  <w:footnote w:type="continuationSeparator" w:id="0">
    <w:p w:rsidR="00EE124A" w:rsidRDefault="00EE124A" w:rsidP="0082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0FE9"/>
    <w:multiLevelType w:val="hybridMultilevel"/>
    <w:tmpl w:val="4A90C5B8"/>
    <w:lvl w:ilvl="0" w:tplc="AACCD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8"/>
    <w:rsid w:val="00013215"/>
    <w:rsid w:val="000409A0"/>
    <w:rsid w:val="00050337"/>
    <w:rsid w:val="0005153A"/>
    <w:rsid w:val="000549BE"/>
    <w:rsid w:val="000640A7"/>
    <w:rsid w:val="00094602"/>
    <w:rsid w:val="00094729"/>
    <w:rsid w:val="000B1411"/>
    <w:rsid w:val="000B2C0C"/>
    <w:rsid w:val="000D7359"/>
    <w:rsid w:val="000F2C96"/>
    <w:rsid w:val="00117FD7"/>
    <w:rsid w:val="00121822"/>
    <w:rsid w:val="00123399"/>
    <w:rsid w:val="00171D34"/>
    <w:rsid w:val="001B4372"/>
    <w:rsid w:val="001C6E37"/>
    <w:rsid w:val="001F0DC6"/>
    <w:rsid w:val="00202C17"/>
    <w:rsid w:val="00207956"/>
    <w:rsid w:val="00250B52"/>
    <w:rsid w:val="00287FA4"/>
    <w:rsid w:val="002A3099"/>
    <w:rsid w:val="002A571F"/>
    <w:rsid w:val="002E7AC7"/>
    <w:rsid w:val="0030013F"/>
    <w:rsid w:val="00340FBC"/>
    <w:rsid w:val="0041031E"/>
    <w:rsid w:val="0043034D"/>
    <w:rsid w:val="00442D03"/>
    <w:rsid w:val="00454A17"/>
    <w:rsid w:val="00461716"/>
    <w:rsid w:val="0046577A"/>
    <w:rsid w:val="004C6F6D"/>
    <w:rsid w:val="004D6AF4"/>
    <w:rsid w:val="004F07A2"/>
    <w:rsid w:val="004F1AEA"/>
    <w:rsid w:val="00531618"/>
    <w:rsid w:val="00545BF3"/>
    <w:rsid w:val="00546F05"/>
    <w:rsid w:val="00592BBC"/>
    <w:rsid w:val="005A0D5C"/>
    <w:rsid w:val="005A6873"/>
    <w:rsid w:val="005A7AFE"/>
    <w:rsid w:val="005C06E0"/>
    <w:rsid w:val="005E33A8"/>
    <w:rsid w:val="006079F2"/>
    <w:rsid w:val="00622DA5"/>
    <w:rsid w:val="0065084E"/>
    <w:rsid w:val="0065435A"/>
    <w:rsid w:val="006746E5"/>
    <w:rsid w:val="00680D8B"/>
    <w:rsid w:val="00680FCD"/>
    <w:rsid w:val="00687360"/>
    <w:rsid w:val="006B27E8"/>
    <w:rsid w:val="006D33E8"/>
    <w:rsid w:val="006E2649"/>
    <w:rsid w:val="006F3785"/>
    <w:rsid w:val="0070331C"/>
    <w:rsid w:val="00721D09"/>
    <w:rsid w:val="00740410"/>
    <w:rsid w:val="007560E6"/>
    <w:rsid w:val="007748A5"/>
    <w:rsid w:val="007A534B"/>
    <w:rsid w:val="007B28F3"/>
    <w:rsid w:val="007F433A"/>
    <w:rsid w:val="00801535"/>
    <w:rsid w:val="0081367B"/>
    <w:rsid w:val="00815719"/>
    <w:rsid w:val="00817D71"/>
    <w:rsid w:val="0082566F"/>
    <w:rsid w:val="008277DB"/>
    <w:rsid w:val="00842842"/>
    <w:rsid w:val="00854D1A"/>
    <w:rsid w:val="00897E39"/>
    <w:rsid w:val="008B7D4E"/>
    <w:rsid w:val="00904938"/>
    <w:rsid w:val="009079C3"/>
    <w:rsid w:val="009153B0"/>
    <w:rsid w:val="00954FEF"/>
    <w:rsid w:val="00955F89"/>
    <w:rsid w:val="00976544"/>
    <w:rsid w:val="00993B92"/>
    <w:rsid w:val="009B57A1"/>
    <w:rsid w:val="009C0167"/>
    <w:rsid w:val="009C21A7"/>
    <w:rsid w:val="00A0426E"/>
    <w:rsid w:val="00A25D1D"/>
    <w:rsid w:val="00A33AF9"/>
    <w:rsid w:val="00A461F5"/>
    <w:rsid w:val="00AC5682"/>
    <w:rsid w:val="00B07AA9"/>
    <w:rsid w:val="00B206E9"/>
    <w:rsid w:val="00B434CB"/>
    <w:rsid w:val="00B56E85"/>
    <w:rsid w:val="00B57091"/>
    <w:rsid w:val="00B72C28"/>
    <w:rsid w:val="00B954CE"/>
    <w:rsid w:val="00B975A0"/>
    <w:rsid w:val="00BA029E"/>
    <w:rsid w:val="00BE1A7B"/>
    <w:rsid w:val="00C033AD"/>
    <w:rsid w:val="00C61CEB"/>
    <w:rsid w:val="00C70DB8"/>
    <w:rsid w:val="00C82A55"/>
    <w:rsid w:val="00C952D4"/>
    <w:rsid w:val="00CC1BB5"/>
    <w:rsid w:val="00CC7618"/>
    <w:rsid w:val="00CD28C5"/>
    <w:rsid w:val="00D05F51"/>
    <w:rsid w:val="00D826E0"/>
    <w:rsid w:val="00D868FF"/>
    <w:rsid w:val="00DA7C6A"/>
    <w:rsid w:val="00DB2A6B"/>
    <w:rsid w:val="00DE6474"/>
    <w:rsid w:val="00DF11BD"/>
    <w:rsid w:val="00E067B5"/>
    <w:rsid w:val="00E212E5"/>
    <w:rsid w:val="00E34BE2"/>
    <w:rsid w:val="00E62654"/>
    <w:rsid w:val="00EA2AD4"/>
    <w:rsid w:val="00EE124A"/>
    <w:rsid w:val="00EE421F"/>
    <w:rsid w:val="00F212BF"/>
    <w:rsid w:val="00F30BC0"/>
    <w:rsid w:val="00F40514"/>
    <w:rsid w:val="00FE473E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DA6A7"/>
  <w15:chartTrackingRefBased/>
  <w15:docId w15:val="{7C4D7A63-CF7D-4F66-8508-27A0751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7E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B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77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7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77D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4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F704-E965-4E1F-BD13-134B5F3B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藍瑞娟</dc:creator>
  <cp:keywords/>
  <dc:description/>
  <cp:lastModifiedBy>魏文琴</cp:lastModifiedBy>
  <cp:revision>4</cp:revision>
  <cp:lastPrinted>2023-06-17T08:09:00Z</cp:lastPrinted>
  <dcterms:created xsi:type="dcterms:W3CDTF">2023-06-16T08:18:00Z</dcterms:created>
  <dcterms:modified xsi:type="dcterms:W3CDTF">2023-06-17T08:10:00Z</dcterms:modified>
</cp:coreProperties>
</file>