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6C" w:rsidRPr="00D1145E" w:rsidRDefault="00C130E9" w:rsidP="00C130E9">
      <w:pPr>
        <w:pStyle w:val="a9"/>
        <w:jc w:val="center"/>
        <w:rPr>
          <w:rFonts w:ascii="微軟正黑體" w:eastAsia="微軟正黑體" w:hAnsi="微軟正黑體" w:hint="eastAsia"/>
          <w:b/>
          <w:bCs/>
          <w:color w:val="7030A0"/>
          <w:sz w:val="44"/>
          <w:szCs w:val="44"/>
        </w:rPr>
      </w:pPr>
      <w:bookmarkStart w:id="0" w:name="_GoBack"/>
      <w:bookmarkEnd w:id="0"/>
      <w:r w:rsidRPr="00D1145E">
        <w:rPr>
          <w:rFonts w:ascii="微軟正黑體" w:eastAsia="微軟正黑體" w:hAnsi="微軟正黑體" w:hint="eastAsia"/>
          <w:b/>
          <w:bCs/>
          <w:color w:val="7030A0"/>
          <w:sz w:val="44"/>
          <w:szCs w:val="44"/>
        </w:rPr>
        <w:t>公務機密</w:t>
      </w:r>
      <w:r w:rsidR="003E6DCA" w:rsidRPr="00D1145E">
        <w:rPr>
          <w:rFonts w:ascii="微軟正黑體" w:eastAsia="微軟正黑體" w:hAnsi="微軟正黑體" w:hint="eastAsia"/>
          <w:b/>
          <w:bCs/>
          <w:color w:val="7030A0"/>
          <w:sz w:val="44"/>
          <w:szCs w:val="44"/>
        </w:rPr>
        <w:t>維護</w:t>
      </w:r>
      <w:r w:rsidR="003601D7" w:rsidRPr="00D1145E">
        <w:rPr>
          <w:rFonts w:ascii="微軟正黑體" w:eastAsia="微軟正黑體" w:hAnsi="微軟正黑體" w:hint="eastAsia"/>
          <w:b/>
          <w:bCs/>
          <w:color w:val="7030A0"/>
          <w:sz w:val="44"/>
          <w:szCs w:val="44"/>
        </w:rPr>
        <w:t xml:space="preserve"> - </w:t>
      </w:r>
      <w:r w:rsidR="00F736E0" w:rsidRPr="00F736E0">
        <w:rPr>
          <w:rFonts w:ascii="微軟正黑體" w:eastAsia="微軟正黑體" w:hAnsi="微軟正黑體" w:hint="eastAsia"/>
          <w:b/>
          <w:bCs/>
          <w:color w:val="7030A0"/>
          <w:sz w:val="44"/>
          <w:szCs w:val="44"/>
        </w:rPr>
        <w:t>採購案件保密規定宣導</w:t>
      </w:r>
    </w:p>
    <w:p w:rsidR="0058089C" w:rsidRDefault="0058089C" w:rsidP="00F736E0">
      <w:pPr>
        <w:pStyle w:val="a9"/>
        <w:spacing w:line="600" w:lineRule="exact"/>
        <w:rPr>
          <w:rFonts w:ascii="微軟正黑體" w:eastAsia="微軟正黑體" w:hAnsi="微軟正黑體"/>
          <w:color w:val="C00000"/>
          <w:sz w:val="28"/>
          <w:szCs w:val="28"/>
        </w:rPr>
      </w:pPr>
    </w:p>
    <w:p w:rsidR="00F736E0" w:rsidRPr="0058089C" w:rsidRDefault="00F736E0" w:rsidP="00F736E0">
      <w:pPr>
        <w:pStyle w:val="a9"/>
        <w:spacing w:line="600" w:lineRule="exact"/>
        <w:rPr>
          <w:rFonts w:ascii="微軟正黑體" w:eastAsia="微軟正黑體" w:hAnsi="微軟正黑體"/>
          <w:color w:val="C00000"/>
          <w:sz w:val="28"/>
          <w:szCs w:val="28"/>
        </w:rPr>
      </w:pPr>
      <w:r w:rsidRPr="0058089C">
        <w:rPr>
          <w:rFonts w:ascii="微軟正黑體" w:eastAsia="微軟正黑體" w:hAnsi="微軟正黑體" w:hint="eastAsia"/>
          <w:color w:val="C00000"/>
          <w:sz w:val="28"/>
          <w:szCs w:val="28"/>
        </w:rPr>
        <w:t>一、各機關常見採購案件洩密案例，行為態樣可歸納下列三種類型：</w:t>
      </w:r>
      <w:r w:rsidRPr="0058089C">
        <w:rPr>
          <w:rFonts w:ascii="微軟正黑體" w:eastAsia="微軟正黑體" w:hAnsi="微軟正黑體"/>
          <w:color w:val="C00000"/>
          <w:sz w:val="28"/>
          <w:szCs w:val="28"/>
        </w:rPr>
        <w:t xml:space="preserve"> </w:t>
      </w:r>
    </w:p>
    <w:p w:rsidR="00F736E0" w:rsidRPr="00892FCF" w:rsidRDefault="00F736E0" w:rsidP="00F736E0">
      <w:pPr>
        <w:pStyle w:val="a9"/>
        <w:spacing w:line="6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892FCF">
        <w:rPr>
          <w:rFonts w:ascii="微軟正黑體" w:eastAsia="微軟正黑體" w:hAnsi="微軟正黑體" w:hint="eastAsia"/>
          <w:b/>
          <w:bCs/>
          <w:sz w:val="28"/>
          <w:szCs w:val="28"/>
        </w:rPr>
        <w:t>（一）機關辦理採購，對於廠商應保守秘密之投標文件交付予其他廠商。</w:t>
      </w:r>
      <w:r w:rsidRPr="00892FCF"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</w:p>
    <w:p w:rsidR="00F736E0" w:rsidRPr="00892FCF" w:rsidRDefault="00F736E0" w:rsidP="00F736E0">
      <w:pPr>
        <w:pStyle w:val="a9"/>
        <w:spacing w:line="6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892FCF">
        <w:rPr>
          <w:rFonts w:ascii="微軟正黑體" w:eastAsia="微軟正黑體" w:hAnsi="微軟正黑體" w:hint="eastAsia"/>
          <w:b/>
          <w:bCs/>
          <w:sz w:val="28"/>
          <w:szCs w:val="28"/>
        </w:rPr>
        <w:t>（二）採購案件開標過程，開標主持人誤認投標廠商報價已達於可決標狀況，</w:t>
      </w:r>
    </w:p>
    <w:p w:rsidR="00F736E0" w:rsidRPr="00892FCF" w:rsidRDefault="00F736E0" w:rsidP="0058089C">
      <w:pPr>
        <w:pStyle w:val="a9"/>
        <w:spacing w:line="600" w:lineRule="exact"/>
        <w:ind w:leftChars="354" w:left="850"/>
        <w:rPr>
          <w:rFonts w:ascii="微軟正黑體" w:eastAsia="微軟正黑體" w:hAnsi="微軟正黑體"/>
          <w:b/>
          <w:bCs/>
          <w:sz w:val="28"/>
          <w:szCs w:val="28"/>
        </w:rPr>
      </w:pPr>
      <w:r w:rsidRPr="00892FCF">
        <w:rPr>
          <w:rFonts w:ascii="微軟正黑體" w:eastAsia="微軟正黑體" w:hAnsi="微軟正黑體" w:hint="eastAsia"/>
          <w:b/>
          <w:bCs/>
          <w:sz w:val="28"/>
          <w:szCs w:val="28"/>
        </w:rPr>
        <w:t>於未決標前逕自公布底價。</w:t>
      </w:r>
      <w:r w:rsidRPr="00892FCF"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</w:p>
    <w:p w:rsidR="00F736E0" w:rsidRPr="00892FCF" w:rsidRDefault="00F736E0" w:rsidP="00F736E0">
      <w:pPr>
        <w:pStyle w:val="a9"/>
        <w:spacing w:line="6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892FCF">
        <w:rPr>
          <w:rFonts w:ascii="微軟正黑體" w:eastAsia="微軟正黑體" w:hAnsi="微軟正黑體" w:hint="eastAsia"/>
          <w:b/>
          <w:bCs/>
          <w:sz w:val="28"/>
          <w:szCs w:val="28"/>
        </w:rPr>
        <w:t>（三）採購案件開標過程，廠商報價低於底價百分之八十，開標主持人宣布保</w:t>
      </w:r>
    </w:p>
    <w:p w:rsidR="00F736E0" w:rsidRPr="00F736E0" w:rsidRDefault="00F736E0" w:rsidP="0058089C">
      <w:pPr>
        <w:pStyle w:val="a9"/>
        <w:spacing w:line="600" w:lineRule="exact"/>
        <w:ind w:leftChars="354" w:left="850"/>
        <w:rPr>
          <w:rFonts w:ascii="微軟正黑體" w:eastAsia="微軟正黑體" w:hAnsi="微軟正黑體"/>
          <w:sz w:val="28"/>
          <w:szCs w:val="28"/>
        </w:rPr>
      </w:pPr>
      <w:r w:rsidRPr="00892FCF">
        <w:rPr>
          <w:rFonts w:ascii="微軟正黑體" w:eastAsia="微軟正黑體" w:hAnsi="微軟正黑體" w:hint="eastAsia"/>
          <w:b/>
          <w:bCs/>
          <w:sz w:val="28"/>
          <w:szCs w:val="28"/>
        </w:rPr>
        <w:t>留決標前，卻先行公布底價。</w:t>
      </w:r>
      <w:r w:rsidRPr="00F736E0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58089C" w:rsidRPr="0058089C" w:rsidRDefault="0058089C" w:rsidP="0058089C">
      <w:pPr>
        <w:pStyle w:val="a9"/>
        <w:spacing w:line="600" w:lineRule="exact"/>
        <w:rPr>
          <w:rFonts w:ascii="微軟正黑體" w:eastAsia="微軟正黑體" w:hAnsi="微軟正黑體"/>
          <w:color w:val="C00000"/>
          <w:sz w:val="28"/>
          <w:szCs w:val="28"/>
        </w:rPr>
      </w:pPr>
      <w:r w:rsidRPr="0058089C">
        <w:rPr>
          <w:rFonts w:ascii="微軟正黑體" w:eastAsia="微軟正黑體" w:hAnsi="微軟正黑體" w:hint="eastAsia"/>
          <w:color w:val="C00000"/>
          <w:sz w:val="28"/>
          <w:szCs w:val="28"/>
        </w:rPr>
        <w:t>二、法令規定</w:t>
      </w:r>
      <w:r w:rsidRPr="0058089C">
        <w:rPr>
          <w:rFonts w:ascii="微軟正黑體" w:eastAsia="微軟正黑體" w:hAnsi="微軟正黑體"/>
          <w:color w:val="C00000"/>
          <w:sz w:val="28"/>
          <w:szCs w:val="28"/>
        </w:rPr>
        <w:t xml:space="preserve"> </w:t>
      </w:r>
    </w:p>
    <w:p w:rsidR="0058089C" w:rsidRPr="0058089C" w:rsidRDefault="0058089C" w:rsidP="0058089C">
      <w:pPr>
        <w:pStyle w:val="a9"/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 w:hint="eastAsia"/>
          <w:sz w:val="28"/>
          <w:szCs w:val="28"/>
        </w:rPr>
        <w:t>（一）</w:t>
      </w:r>
      <w:r>
        <w:rPr>
          <w:rFonts w:ascii="微軟正黑體" w:eastAsia="微軟正黑體" w:hAnsi="微軟正黑體" w:hint="eastAsia"/>
          <w:sz w:val="28"/>
          <w:szCs w:val="28"/>
        </w:rPr>
        <w:t>相關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法條</w:t>
      </w:r>
      <w:r w:rsidRPr="0058089C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58089C" w:rsidRDefault="0058089C" w:rsidP="0058089C">
      <w:pPr>
        <w:pStyle w:val="a9"/>
        <w:spacing w:line="600" w:lineRule="exact"/>
        <w:ind w:firstLineChars="152" w:firstLine="426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/>
          <w:sz w:val="28"/>
          <w:szCs w:val="28"/>
        </w:rPr>
        <w:t>1.</w:t>
      </w:r>
      <w:r w:rsidR="00892FCF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政府採購法第</w:t>
      </w:r>
      <w:r w:rsidRPr="0058089C">
        <w:rPr>
          <w:rFonts w:ascii="微軟正黑體" w:eastAsia="微軟正黑體" w:hAnsi="微軟正黑體"/>
          <w:sz w:val="28"/>
          <w:szCs w:val="28"/>
        </w:rPr>
        <w:t>34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條（招標文件公告前應予保密）規定：「</w:t>
      </w:r>
      <w:r w:rsidRPr="0058089C">
        <w:rPr>
          <w:rFonts w:ascii="微軟正黑體" w:eastAsia="微軟正黑體" w:hAnsi="微軟正黑體"/>
          <w:sz w:val="28"/>
          <w:szCs w:val="28"/>
        </w:rPr>
        <w:t>(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第</w:t>
      </w:r>
      <w:r w:rsidRPr="0058089C">
        <w:rPr>
          <w:rFonts w:ascii="微軟正黑體" w:eastAsia="微軟正黑體" w:hAnsi="微軟正黑體"/>
          <w:sz w:val="28"/>
          <w:szCs w:val="28"/>
        </w:rPr>
        <w:t>1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項</w:t>
      </w:r>
      <w:r w:rsidRPr="0058089C">
        <w:rPr>
          <w:rFonts w:ascii="微軟正黑體" w:eastAsia="微軟正黑體" w:hAnsi="微軟正黑體"/>
          <w:sz w:val="28"/>
          <w:szCs w:val="28"/>
        </w:rPr>
        <w:t>)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機關辦</w:t>
      </w:r>
    </w:p>
    <w:p w:rsidR="0058089C" w:rsidRDefault="0058089C" w:rsidP="0058089C">
      <w:pPr>
        <w:pStyle w:val="a9"/>
        <w:spacing w:line="600" w:lineRule="exact"/>
        <w:ind w:firstLineChars="253" w:firstLine="708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 w:hint="eastAsia"/>
          <w:sz w:val="28"/>
          <w:szCs w:val="28"/>
        </w:rPr>
        <w:t>理採購，其招標文件於公告前應予保密。但須公開說明或藉以公開徵求廠</w:t>
      </w:r>
    </w:p>
    <w:p w:rsidR="0058089C" w:rsidRDefault="0058089C" w:rsidP="0058089C">
      <w:pPr>
        <w:pStyle w:val="a9"/>
        <w:spacing w:line="600" w:lineRule="exact"/>
        <w:ind w:firstLineChars="253" w:firstLine="708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 w:hint="eastAsia"/>
          <w:sz w:val="28"/>
          <w:szCs w:val="28"/>
        </w:rPr>
        <w:t>商提供參考資料者，不在此限。</w:t>
      </w:r>
      <w:r w:rsidRPr="0058089C">
        <w:rPr>
          <w:rFonts w:ascii="微軟正黑體" w:eastAsia="微軟正黑體" w:hAnsi="微軟正黑體"/>
          <w:sz w:val="28"/>
          <w:szCs w:val="28"/>
        </w:rPr>
        <w:t>(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第</w:t>
      </w:r>
      <w:r w:rsidRPr="0058089C">
        <w:rPr>
          <w:rFonts w:ascii="微軟正黑體" w:eastAsia="微軟正黑體" w:hAnsi="微軟正黑體"/>
          <w:sz w:val="28"/>
          <w:szCs w:val="28"/>
        </w:rPr>
        <w:t>2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項</w:t>
      </w:r>
      <w:r w:rsidRPr="0058089C">
        <w:rPr>
          <w:rFonts w:ascii="微軟正黑體" w:eastAsia="微軟正黑體" w:hAnsi="微軟正黑體"/>
          <w:sz w:val="28"/>
          <w:szCs w:val="28"/>
        </w:rPr>
        <w:t>)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機關辦理招標，不得於開標前洩</w:t>
      </w:r>
    </w:p>
    <w:p w:rsidR="0058089C" w:rsidRDefault="0058089C" w:rsidP="0058089C">
      <w:pPr>
        <w:pStyle w:val="a9"/>
        <w:spacing w:line="600" w:lineRule="exact"/>
        <w:ind w:firstLineChars="253" w:firstLine="708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 w:hint="eastAsia"/>
          <w:sz w:val="28"/>
          <w:szCs w:val="28"/>
        </w:rPr>
        <w:t>漏底價，領標、投標廠商之名稱與家數及其他足以造成限制競爭或不公平</w:t>
      </w:r>
    </w:p>
    <w:p w:rsidR="0058089C" w:rsidRDefault="0058089C" w:rsidP="0058089C">
      <w:pPr>
        <w:pStyle w:val="a9"/>
        <w:spacing w:line="600" w:lineRule="exact"/>
        <w:ind w:firstLineChars="253" w:firstLine="708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 w:hint="eastAsia"/>
          <w:sz w:val="28"/>
          <w:szCs w:val="28"/>
        </w:rPr>
        <w:t>競爭之相關資料。</w:t>
      </w:r>
      <w:r w:rsidRPr="0058089C">
        <w:rPr>
          <w:rFonts w:ascii="微軟正黑體" w:eastAsia="微軟正黑體" w:hAnsi="微軟正黑體"/>
          <w:sz w:val="28"/>
          <w:szCs w:val="28"/>
        </w:rPr>
        <w:t>(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第</w:t>
      </w:r>
      <w:r w:rsidRPr="0058089C">
        <w:rPr>
          <w:rFonts w:ascii="微軟正黑體" w:eastAsia="微軟正黑體" w:hAnsi="微軟正黑體"/>
          <w:sz w:val="28"/>
          <w:szCs w:val="28"/>
        </w:rPr>
        <w:t>3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項</w:t>
      </w:r>
      <w:r w:rsidRPr="0058089C">
        <w:rPr>
          <w:rFonts w:ascii="微軟正黑體" w:eastAsia="微軟正黑體" w:hAnsi="微軟正黑體"/>
          <w:sz w:val="28"/>
          <w:szCs w:val="28"/>
        </w:rPr>
        <w:t>)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底價於開標後至決標前，仍應保密，決標後除</w:t>
      </w:r>
    </w:p>
    <w:p w:rsidR="0058089C" w:rsidRDefault="0058089C" w:rsidP="0058089C">
      <w:pPr>
        <w:pStyle w:val="a9"/>
        <w:spacing w:line="600" w:lineRule="exact"/>
        <w:ind w:firstLineChars="253" w:firstLine="708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 w:hint="eastAsia"/>
          <w:sz w:val="28"/>
          <w:szCs w:val="28"/>
        </w:rPr>
        <w:t>有特殊情形外，應予公開。但機關依實際需要，得於招標文件中公告底價。</w:t>
      </w:r>
    </w:p>
    <w:p w:rsidR="0058089C" w:rsidRDefault="0058089C" w:rsidP="0058089C">
      <w:pPr>
        <w:pStyle w:val="a9"/>
        <w:spacing w:line="600" w:lineRule="exact"/>
        <w:ind w:firstLineChars="253" w:firstLine="708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/>
          <w:sz w:val="28"/>
          <w:szCs w:val="28"/>
        </w:rPr>
        <w:t>(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第</w:t>
      </w:r>
      <w:r w:rsidRPr="0058089C">
        <w:rPr>
          <w:rFonts w:ascii="微軟正黑體" w:eastAsia="微軟正黑體" w:hAnsi="微軟正黑體"/>
          <w:sz w:val="28"/>
          <w:szCs w:val="28"/>
        </w:rPr>
        <w:t>4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項</w:t>
      </w:r>
      <w:r w:rsidRPr="0058089C">
        <w:rPr>
          <w:rFonts w:ascii="微軟正黑體" w:eastAsia="微軟正黑體" w:hAnsi="微軟正黑體"/>
          <w:sz w:val="28"/>
          <w:szCs w:val="28"/>
        </w:rPr>
        <w:t>)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機關對於廠商投標文件，除供公務上使用或法令另有規定外，應</w:t>
      </w:r>
    </w:p>
    <w:p w:rsidR="0058089C" w:rsidRPr="0058089C" w:rsidRDefault="0058089C" w:rsidP="0058089C">
      <w:pPr>
        <w:pStyle w:val="a9"/>
        <w:spacing w:line="600" w:lineRule="exact"/>
        <w:ind w:firstLineChars="253" w:firstLine="708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 w:hint="eastAsia"/>
          <w:sz w:val="28"/>
          <w:szCs w:val="28"/>
        </w:rPr>
        <w:t>保守秘密」。</w:t>
      </w:r>
      <w:r w:rsidRPr="0058089C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58089C" w:rsidRDefault="0058089C" w:rsidP="0058089C">
      <w:pPr>
        <w:pStyle w:val="a9"/>
        <w:spacing w:line="600" w:lineRule="exact"/>
        <w:ind w:firstLineChars="152" w:firstLine="426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/>
          <w:sz w:val="28"/>
          <w:szCs w:val="28"/>
        </w:rPr>
        <w:t xml:space="preserve">2. 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刑法第</w:t>
      </w:r>
      <w:r w:rsidRPr="0058089C">
        <w:rPr>
          <w:rFonts w:ascii="微軟正黑體" w:eastAsia="微軟正黑體" w:hAnsi="微軟正黑體"/>
          <w:b/>
          <w:bCs/>
          <w:sz w:val="28"/>
          <w:szCs w:val="28"/>
        </w:rPr>
        <w:t>132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條規定：「</w:t>
      </w:r>
      <w:r w:rsidRPr="0058089C">
        <w:rPr>
          <w:rFonts w:ascii="微軟正黑體" w:eastAsia="微軟正黑體" w:hAnsi="微軟正黑體"/>
          <w:sz w:val="28"/>
          <w:szCs w:val="28"/>
        </w:rPr>
        <w:t>(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第</w:t>
      </w:r>
      <w:r w:rsidRPr="0058089C">
        <w:rPr>
          <w:rFonts w:ascii="微軟正黑體" w:eastAsia="微軟正黑體" w:hAnsi="微軟正黑體"/>
          <w:sz w:val="28"/>
          <w:szCs w:val="28"/>
        </w:rPr>
        <w:t>1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項</w:t>
      </w:r>
      <w:r w:rsidRPr="0058089C">
        <w:rPr>
          <w:rFonts w:ascii="微軟正黑體" w:eastAsia="微軟正黑體" w:hAnsi="微軟正黑體"/>
          <w:sz w:val="28"/>
          <w:szCs w:val="28"/>
        </w:rPr>
        <w:t>)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公務員洩漏或交付關於中華民國國防以外</w:t>
      </w:r>
    </w:p>
    <w:p w:rsidR="0058089C" w:rsidRDefault="0058089C" w:rsidP="0058089C">
      <w:pPr>
        <w:pStyle w:val="a9"/>
        <w:spacing w:line="600" w:lineRule="exact"/>
        <w:ind w:firstLineChars="253" w:firstLine="708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 w:hint="eastAsia"/>
          <w:sz w:val="28"/>
          <w:szCs w:val="28"/>
        </w:rPr>
        <w:t>應秘密之文書、圖畫、消息或物品者，處</w:t>
      </w:r>
      <w:r w:rsidRPr="0058089C">
        <w:rPr>
          <w:rFonts w:ascii="微軟正黑體" w:eastAsia="微軟正黑體" w:hAnsi="微軟正黑體"/>
          <w:sz w:val="28"/>
          <w:szCs w:val="28"/>
        </w:rPr>
        <w:t>3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年以下有期徒刑。</w:t>
      </w:r>
      <w:r w:rsidRPr="0058089C">
        <w:rPr>
          <w:rFonts w:ascii="微軟正黑體" w:eastAsia="微軟正黑體" w:hAnsi="微軟正黑體"/>
          <w:sz w:val="28"/>
          <w:szCs w:val="28"/>
        </w:rPr>
        <w:t>(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第</w:t>
      </w:r>
      <w:r w:rsidRPr="0058089C">
        <w:rPr>
          <w:rFonts w:ascii="微軟正黑體" w:eastAsia="微軟正黑體" w:hAnsi="微軟正黑體"/>
          <w:sz w:val="28"/>
          <w:szCs w:val="28"/>
        </w:rPr>
        <w:t>2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項</w:t>
      </w:r>
      <w:r w:rsidRPr="0058089C">
        <w:rPr>
          <w:rFonts w:ascii="微軟正黑體" w:eastAsia="微軟正黑體" w:hAnsi="微軟正黑體"/>
          <w:sz w:val="28"/>
          <w:szCs w:val="28"/>
        </w:rPr>
        <w:t>)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因</w:t>
      </w:r>
    </w:p>
    <w:p w:rsidR="0058089C" w:rsidRDefault="0058089C" w:rsidP="0058089C">
      <w:pPr>
        <w:pStyle w:val="a9"/>
        <w:spacing w:line="600" w:lineRule="exact"/>
        <w:ind w:firstLineChars="253" w:firstLine="708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 w:hint="eastAsia"/>
          <w:sz w:val="28"/>
          <w:szCs w:val="28"/>
        </w:rPr>
        <w:t>過失犯前項之罪者，處</w:t>
      </w:r>
      <w:r w:rsidRPr="0058089C">
        <w:rPr>
          <w:rFonts w:ascii="微軟正黑體" w:eastAsia="微軟正黑體" w:hAnsi="微軟正黑體"/>
          <w:b/>
          <w:bCs/>
          <w:sz w:val="28"/>
          <w:szCs w:val="28"/>
        </w:rPr>
        <w:t>1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年以下有期徒刑、拘役或</w:t>
      </w:r>
      <w:r w:rsidRPr="0058089C">
        <w:rPr>
          <w:rFonts w:ascii="微軟正黑體" w:eastAsia="微軟正黑體" w:hAnsi="微軟正黑體"/>
          <w:b/>
          <w:bCs/>
          <w:sz w:val="28"/>
          <w:szCs w:val="28"/>
        </w:rPr>
        <w:t>300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以下罰金。</w:t>
      </w:r>
      <w:r w:rsidRPr="0058089C">
        <w:rPr>
          <w:rFonts w:ascii="微軟正黑體" w:eastAsia="微軟正黑體" w:hAnsi="微軟正黑體"/>
          <w:sz w:val="28"/>
          <w:szCs w:val="28"/>
        </w:rPr>
        <w:t>(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第</w:t>
      </w:r>
      <w:r w:rsidRPr="0058089C">
        <w:rPr>
          <w:rFonts w:ascii="微軟正黑體" w:eastAsia="微軟正黑體" w:hAnsi="微軟正黑體"/>
          <w:sz w:val="28"/>
          <w:szCs w:val="28"/>
        </w:rPr>
        <w:t>3</w:t>
      </w:r>
    </w:p>
    <w:p w:rsidR="0058089C" w:rsidRDefault="0058089C" w:rsidP="0058089C">
      <w:pPr>
        <w:pStyle w:val="a9"/>
        <w:spacing w:line="600" w:lineRule="exact"/>
        <w:ind w:firstLineChars="253" w:firstLine="708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 w:hint="eastAsia"/>
          <w:sz w:val="28"/>
          <w:szCs w:val="28"/>
        </w:rPr>
        <w:lastRenderedPageBreak/>
        <w:t>項</w:t>
      </w:r>
      <w:r w:rsidRPr="0058089C">
        <w:rPr>
          <w:rFonts w:ascii="微軟正黑體" w:eastAsia="微軟正黑體" w:hAnsi="微軟正黑體"/>
          <w:sz w:val="28"/>
          <w:szCs w:val="28"/>
        </w:rPr>
        <w:t>)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非公務員因職務或業務知悉或持有第</w:t>
      </w:r>
      <w:r w:rsidRPr="0058089C">
        <w:rPr>
          <w:rFonts w:ascii="微軟正黑體" w:eastAsia="微軟正黑體" w:hAnsi="微軟正黑體"/>
          <w:sz w:val="28"/>
          <w:szCs w:val="28"/>
        </w:rPr>
        <w:t>1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項之文書、圖畫、消息或物品，</w:t>
      </w:r>
    </w:p>
    <w:p w:rsidR="0058089C" w:rsidRDefault="0058089C" w:rsidP="0058089C">
      <w:pPr>
        <w:pStyle w:val="a9"/>
        <w:spacing w:line="600" w:lineRule="exact"/>
        <w:ind w:firstLineChars="253" w:firstLine="708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 w:hint="eastAsia"/>
          <w:sz w:val="28"/>
          <w:szCs w:val="28"/>
        </w:rPr>
        <w:t>而洩漏或交付之者，處</w:t>
      </w:r>
      <w:r w:rsidRPr="0058089C">
        <w:rPr>
          <w:rFonts w:ascii="微軟正黑體" w:eastAsia="微軟正黑體" w:hAnsi="微軟正黑體"/>
          <w:sz w:val="28"/>
          <w:szCs w:val="28"/>
        </w:rPr>
        <w:t>1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年以下有期徒刑、拘役或</w:t>
      </w:r>
      <w:r w:rsidRPr="0058089C">
        <w:rPr>
          <w:rFonts w:ascii="微軟正黑體" w:eastAsia="微軟正黑體" w:hAnsi="微軟正黑體"/>
          <w:sz w:val="28"/>
          <w:szCs w:val="28"/>
        </w:rPr>
        <w:t>300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元以下罰金。」</w:t>
      </w:r>
      <w:r w:rsidRPr="0058089C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58089C" w:rsidRPr="0058089C" w:rsidRDefault="0058089C" w:rsidP="0058089C">
      <w:pPr>
        <w:pStyle w:val="a9"/>
        <w:spacing w:line="600" w:lineRule="exact"/>
        <w:ind w:firstLineChars="152" w:firstLine="426"/>
        <w:rPr>
          <w:rFonts w:ascii="微軟正黑體" w:eastAsia="微軟正黑體" w:hAnsi="微軟正黑體"/>
          <w:sz w:val="28"/>
          <w:szCs w:val="28"/>
        </w:rPr>
      </w:pPr>
      <w:r w:rsidRPr="0058089C">
        <w:rPr>
          <w:rFonts w:ascii="微軟正黑體" w:eastAsia="微軟正黑體" w:hAnsi="微軟正黑體"/>
          <w:sz w:val="28"/>
          <w:szCs w:val="28"/>
        </w:rPr>
        <w:t xml:space="preserve">3. 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採購人員倫理準則第</w:t>
      </w:r>
      <w:r w:rsidRPr="0058089C">
        <w:rPr>
          <w:rFonts w:ascii="微軟正黑體" w:eastAsia="微軟正黑體" w:hAnsi="微軟正黑體"/>
          <w:b/>
          <w:bCs/>
          <w:sz w:val="28"/>
          <w:szCs w:val="28"/>
        </w:rPr>
        <w:t>7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條第</w:t>
      </w:r>
      <w:r w:rsidRPr="0058089C">
        <w:rPr>
          <w:rFonts w:ascii="微軟正黑體" w:eastAsia="微軟正黑體" w:hAnsi="微軟正黑體"/>
          <w:b/>
          <w:bCs/>
          <w:sz w:val="28"/>
          <w:szCs w:val="28"/>
        </w:rPr>
        <w:t>7</w:t>
      </w:r>
      <w:r w:rsidRPr="0058089C">
        <w:rPr>
          <w:rFonts w:ascii="微軟正黑體" w:eastAsia="微軟正黑體" w:hAnsi="微軟正黑體" w:hint="eastAsia"/>
          <w:sz w:val="28"/>
          <w:szCs w:val="28"/>
        </w:rPr>
        <w:t>款規定：「洩漏應保守秘密之採購資訊。」</w:t>
      </w:r>
      <w:r w:rsidRPr="0058089C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F736E0" w:rsidRPr="00162CDD" w:rsidRDefault="00F736E0" w:rsidP="00224023">
      <w:pPr>
        <w:spacing w:line="500" w:lineRule="exact"/>
        <w:rPr>
          <w:rFonts w:ascii="微軟正黑體" w:eastAsia="微軟正黑體" w:hAnsi="微軟正黑體" w:hint="eastAsia"/>
          <w:sz w:val="36"/>
          <w:szCs w:val="36"/>
        </w:rPr>
      </w:pPr>
    </w:p>
    <w:sectPr w:rsidR="00F736E0" w:rsidRPr="00162CDD" w:rsidSect="0058089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6D3" w:rsidRDefault="00E446D3" w:rsidP="00785EC9">
      <w:r>
        <w:separator/>
      </w:r>
    </w:p>
  </w:endnote>
  <w:endnote w:type="continuationSeparator" w:id="0">
    <w:p w:rsidR="00E446D3" w:rsidRDefault="00E446D3" w:rsidP="0078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6D3" w:rsidRDefault="00E446D3" w:rsidP="00785EC9">
      <w:r>
        <w:separator/>
      </w:r>
    </w:p>
  </w:footnote>
  <w:footnote w:type="continuationSeparator" w:id="0">
    <w:p w:rsidR="00E446D3" w:rsidRDefault="00E446D3" w:rsidP="0078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3AD5"/>
    <w:multiLevelType w:val="multilevel"/>
    <w:tmpl w:val="7AEA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6"/>
    <w:rsid w:val="00032C93"/>
    <w:rsid w:val="00036D57"/>
    <w:rsid w:val="00052331"/>
    <w:rsid w:val="0006444E"/>
    <w:rsid w:val="000846F2"/>
    <w:rsid w:val="000A571C"/>
    <w:rsid w:val="000B7DA6"/>
    <w:rsid w:val="0014716C"/>
    <w:rsid w:val="00162CDD"/>
    <w:rsid w:val="001E4D1F"/>
    <w:rsid w:val="00213C64"/>
    <w:rsid w:val="00224023"/>
    <w:rsid w:val="002A6A0C"/>
    <w:rsid w:val="002F2543"/>
    <w:rsid w:val="003601D7"/>
    <w:rsid w:val="003E6DCA"/>
    <w:rsid w:val="004150FA"/>
    <w:rsid w:val="00421215"/>
    <w:rsid w:val="00436398"/>
    <w:rsid w:val="004477F0"/>
    <w:rsid w:val="004A4279"/>
    <w:rsid w:val="0055657E"/>
    <w:rsid w:val="005726CC"/>
    <w:rsid w:val="0058089C"/>
    <w:rsid w:val="005D44C6"/>
    <w:rsid w:val="00644A61"/>
    <w:rsid w:val="00660C82"/>
    <w:rsid w:val="00682504"/>
    <w:rsid w:val="00682A61"/>
    <w:rsid w:val="00687446"/>
    <w:rsid w:val="006A6017"/>
    <w:rsid w:val="006B3085"/>
    <w:rsid w:val="00750756"/>
    <w:rsid w:val="0076294E"/>
    <w:rsid w:val="00785EC9"/>
    <w:rsid w:val="007D3B9B"/>
    <w:rsid w:val="007F390D"/>
    <w:rsid w:val="00815A2D"/>
    <w:rsid w:val="008201A0"/>
    <w:rsid w:val="00883F17"/>
    <w:rsid w:val="00892FCF"/>
    <w:rsid w:val="008B4E92"/>
    <w:rsid w:val="00940E93"/>
    <w:rsid w:val="009729BE"/>
    <w:rsid w:val="00972C7B"/>
    <w:rsid w:val="009F2009"/>
    <w:rsid w:val="00A049E6"/>
    <w:rsid w:val="00A74838"/>
    <w:rsid w:val="00B71214"/>
    <w:rsid w:val="00BB61AE"/>
    <w:rsid w:val="00C01895"/>
    <w:rsid w:val="00C11A4B"/>
    <w:rsid w:val="00C130E9"/>
    <w:rsid w:val="00C75A62"/>
    <w:rsid w:val="00CA2795"/>
    <w:rsid w:val="00CE7328"/>
    <w:rsid w:val="00D021AA"/>
    <w:rsid w:val="00D1145E"/>
    <w:rsid w:val="00D12FCB"/>
    <w:rsid w:val="00D1724E"/>
    <w:rsid w:val="00D543ED"/>
    <w:rsid w:val="00D57122"/>
    <w:rsid w:val="00DA1F4A"/>
    <w:rsid w:val="00DC6E3D"/>
    <w:rsid w:val="00DD4DE8"/>
    <w:rsid w:val="00DD5C4A"/>
    <w:rsid w:val="00DE0647"/>
    <w:rsid w:val="00DE63AF"/>
    <w:rsid w:val="00E16D50"/>
    <w:rsid w:val="00E216D0"/>
    <w:rsid w:val="00E446D3"/>
    <w:rsid w:val="00E50F18"/>
    <w:rsid w:val="00E73004"/>
    <w:rsid w:val="00E815B6"/>
    <w:rsid w:val="00F01562"/>
    <w:rsid w:val="00F736E0"/>
    <w:rsid w:val="00F919AA"/>
    <w:rsid w:val="00FA5CDC"/>
    <w:rsid w:val="00F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AFF07-8511-4D3E-8A7D-8E4DD7E5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46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79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712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79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4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44C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D44C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85E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85EC9"/>
    <w:rPr>
      <w:sz w:val="20"/>
      <w:szCs w:val="20"/>
    </w:rPr>
  </w:style>
  <w:style w:type="paragraph" w:styleId="a9">
    <w:name w:val="No Spacing"/>
    <w:uiPriority w:val="1"/>
    <w:qFormat/>
    <w:rsid w:val="00785EC9"/>
    <w:pPr>
      <w:widowControl w:val="0"/>
    </w:pPr>
    <w:rPr>
      <w:kern w:val="2"/>
      <w:sz w:val="24"/>
      <w:szCs w:val="22"/>
    </w:rPr>
  </w:style>
  <w:style w:type="character" w:customStyle="1" w:styleId="30">
    <w:name w:val="標題 3 字元"/>
    <w:link w:val="3"/>
    <w:uiPriority w:val="9"/>
    <w:rsid w:val="00D57122"/>
    <w:rPr>
      <w:rFonts w:ascii="新細明體" w:hAnsi="新細明體" w:cs="新細明體"/>
      <w:b/>
      <w:bCs/>
      <w:sz w:val="27"/>
      <w:szCs w:val="27"/>
    </w:rPr>
  </w:style>
  <w:style w:type="character" w:styleId="aa">
    <w:name w:val="Hyperlink"/>
    <w:uiPriority w:val="99"/>
    <w:unhideWhenUsed/>
    <w:rsid w:val="00D57122"/>
    <w:rPr>
      <w:color w:val="0000FF"/>
      <w:u w:val="single"/>
    </w:rPr>
  </w:style>
  <w:style w:type="character" w:customStyle="1" w:styleId="20">
    <w:name w:val="標題 2 字元"/>
    <w:link w:val="2"/>
    <w:uiPriority w:val="9"/>
    <w:semiHidden/>
    <w:rsid w:val="004A4279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A4279"/>
    <w:rPr>
      <w:rFonts w:ascii="Calibri Light" w:eastAsia="新細明體" w:hAnsi="Calibri Light" w:cs="Times New Roman"/>
      <w:kern w:val="2"/>
      <w:sz w:val="36"/>
      <w:szCs w:val="36"/>
    </w:rPr>
  </w:style>
  <w:style w:type="character" w:styleId="ab">
    <w:name w:val="Strong"/>
    <w:uiPriority w:val="22"/>
    <w:qFormat/>
    <w:rsid w:val="004A4279"/>
    <w:rPr>
      <w:b/>
      <w:bCs/>
    </w:rPr>
  </w:style>
  <w:style w:type="character" w:customStyle="1" w:styleId="ac">
    <w:name w:val="未解析的提及項目"/>
    <w:uiPriority w:val="99"/>
    <w:semiHidden/>
    <w:unhideWhenUsed/>
    <w:rsid w:val="0014716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D5C4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徐達忠</dc:creator>
  <cp:keywords/>
  <cp:lastModifiedBy>黃聖學</cp:lastModifiedBy>
  <cp:revision>2</cp:revision>
  <cp:lastPrinted>2020-03-25T01:56:00Z</cp:lastPrinted>
  <dcterms:created xsi:type="dcterms:W3CDTF">2024-04-09T08:15:00Z</dcterms:created>
  <dcterms:modified xsi:type="dcterms:W3CDTF">2024-04-09T08:15:00Z</dcterms:modified>
</cp:coreProperties>
</file>