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095" w:rsidRDefault="001F5C46">
      <w:pPr>
        <w:pStyle w:val="Standard"/>
        <w:spacing w:line="460" w:lineRule="exact"/>
        <w:ind w:left="708" w:hanging="708"/>
        <w:jc w:val="center"/>
        <w:rPr>
          <w:rFonts w:ascii="標楷體" w:eastAsia="標楷體" w:hAnsi="標楷體"/>
          <w:sz w:val="40"/>
          <w:szCs w:val="36"/>
        </w:rPr>
      </w:pPr>
      <w:r>
        <w:rPr>
          <w:rFonts w:ascii="標楷體" w:eastAsia="標楷體" w:hAnsi="標楷體"/>
          <w:sz w:val="40"/>
          <w:szCs w:val="36"/>
        </w:rPr>
        <w:t>戶外休閒活動應注意事項</w:t>
      </w:r>
    </w:p>
    <w:p w:rsidR="009A3095" w:rsidRDefault="001F5C46">
      <w:pPr>
        <w:pStyle w:val="a5"/>
        <w:numPr>
          <w:ilvl w:val="0"/>
          <w:numId w:val="9"/>
        </w:numPr>
        <w:spacing w:before="180" w:line="460" w:lineRule="exact"/>
        <w:ind w:left="566" w:hanging="566"/>
        <w:jc w:val="both"/>
        <w:rPr>
          <w:rFonts w:ascii="標楷體" w:eastAsia="標楷體" w:hAnsi="標楷體"/>
          <w:sz w:val="28"/>
          <w:szCs w:val="28"/>
        </w:rPr>
      </w:pPr>
      <w:r>
        <w:rPr>
          <w:rFonts w:ascii="標楷體" w:eastAsia="標楷體" w:hAnsi="標楷體"/>
          <w:sz w:val="28"/>
          <w:szCs w:val="28"/>
        </w:rPr>
        <w:t>為維護戶外休閒活動消費者之安全，並保障其權益，特訂定本注意事項。</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本注意事項所稱戶外休閒活動，指由機關、機構、學校、法人、團體、商號或其他企業經營者（以下簡稱戶外休閒活動舉辦者）於戶外開放性環境所進行之各類休閒活動。</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戶外休閒活動之主管機關，在中央為各目的事業主管機關，在直轄市為直轄市政府；在縣（市）為縣（市）政府。</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戶外休閒活動舉辦者應遵守各該活動主管機關所定管理規定；主管機關未訂有相關規定者，得參據適用本注意事項。</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戶外休閒活動舉辦者應於契約及相關網頁、社群、通訊媒體、廣告或其他公開明顯處，揭示下列事項：</w:t>
      </w:r>
    </w:p>
    <w:p w:rsidR="009A3095" w:rsidRDefault="001F5C46">
      <w:pPr>
        <w:pStyle w:val="10"/>
        <w:numPr>
          <w:ilvl w:val="0"/>
          <w:numId w:val="10"/>
        </w:numPr>
        <w:tabs>
          <w:tab w:val="left" w:pos="2439"/>
        </w:tabs>
        <w:spacing w:line="460" w:lineRule="exact"/>
        <w:ind w:left="1134" w:hanging="567"/>
        <w:jc w:val="both"/>
        <w:rPr>
          <w:rFonts w:ascii="標楷體" w:eastAsia="標楷體" w:hAnsi="標楷體"/>
          <w:sz w:val="28"/>
          <w:szCs w:val="28"/>
        </w:rPr>
      </w:pPr>
      <w:r>
        <w:rPr>
          <w:rFonts w:ascii="標楷體" w:eastAsia="標楷體" w:hAnsi="標楷體"/>
          <w:sz w:val="28"/>
          <w:szCs w:val="28"/>
        </w:rPr>
        <w:t>戶外休閒活動舉辦者名稱、負責人、聯絡方式、營業所在地及合法登記資料或專業人員相關證明文件。</w:t>
      </w:r>
    </w:p>
    <w:p w:rsidR="009A3095" w:rsidRDefault="001F5C46">
      <w:pPr>
        <w:pStyle w:val="10"/>
        <w:numPr>
          <w:ilvl w:val="0"/>
          <w:numId w:val="2"/>
        </w:numPr>
        <w:tabs>
          <w:tab w:val="left" w:pos="2379"/>
        </w:tabs>
        <w:spacing w:line="460" w:lineRule="exact"/>
        <w:ind w:left="1134" w:hanging="567"/>
        <w:jc w:val="both"/>
        <w:rPr>
          <w:rFonts w:ascii="標楷體" w:eastAsia="標楷體" w:hAnsi="標楷體"/>
          <w:sz w:val="28"/>
          <w:szCs w:val="28"/>
        </w:rPr>
      </w:pPr>
      <w:r>
        <w:rPr>
          <w:rFonts w:ascii="標楷體" w:eastAsia="標楷體" w:hAnsi="標楷體"/>
          <w:sz w:val="28"/>
          <w:szCs w:val="28"/>
        </w:rPr>
        <w:t>活動項目、內容、時間及地點。</w:t>
      </w:r>
    </w:p>
    <w:p w:rsidR="009A3095" w:rsidRDefault="001F5C46">
      <w:pPr>
        <w:pStyle w:val="10"/>
        <w:numPr>
          <w:ilvl w:val="0"/>
          <w:numId w:val="2"/>
        </w:numPr>
        <w:tabs>
          <w:tab w:val="left" w:pos="2379"/>
        </w:tabs>
        <w:spacing w:line="460" w:lineRule="exact"/>
        <w:ind w:left="1134" w:hanging="567"/>
        <w:jc w:val="both"/>
        <w:rPr>
          <w:rFonts w:ascii="標楷體" w:eastAsia="標楷體" w:hAnsi="標楷體"/>
          <w:sz w:val="28"/>
          <w:szCs w:val="28"/>
        </w:rPr>
      </w:pPr>
      <w:r>
        <w:rPr>
          <w:rFonts w:ascii="標楷體" w:eastAsia="標楷體" w:hAnsi="標楷體"/>
          <w:sz w:val="28"/>
          <w:szCs w:val="28"/>
        </w:rPr>
        <w:t>費用總金額與其包含項目、收費方式及退費機制。</w:t>
      </w:r>
    </w:p>
    <w:p w:rsidR="009A3095" w:rsidRDefault="001F5C46">
      <w:pPr>
        <w:pStyle w:val="10"/>
        <w:numPr>
          <w:ilvl w:val="0"/>
          <w:numId w:val="2"/>
        </w:numPr>
        <w:tabs>
          <w:tab w:val="left" w:pos="2394"/>
        </w:tabs>
        <w:spacing w:line="460" w:lineRule="exact"/>
        <w:ind w:left="1134" w:hanging="567"/>
        <w:jc w:val="both"/>
        <w:rPr>
          <w:rFonts w:ascii="標楷體" w:eastAsia="標楷體" w:hAnsi="標楷體"/>
          <w:sz w:val="28"/>
          <w:szCs w:val="28"/>
        </w:rPr>
      </w:pPr>
      <w:r>
        <w:rPr>
          <w:rFonts w:ascii="標楷體" w:eastAsia="標楷體" w:hAnsi="標楷體"/>
          <w:sz w:val="28"/>
          <w:szCs w:val="28"/>
        </w:rPr>
        <w:t>專業人員及活動配備。</w:t>
      </w:r>
    </w:p>
    <w:p w:rsidR="009A3095" w:rsidRDefault="001F5C46">
      <w:pPr>
        <w:pStyle w:val="10"/>
        <w:numPr>
          <w:ilvl w:val="0"/>
          <w:numId w:val="2"/>
        </w:numPr>
        <w:tabs>
          <w:tab w:val="left" w:pos="2439"/>
        </w:tabs>
        <w:spacing w:line="460" w:lineRule="exact"/>
        <w:ind w:left="1134" w:hanging="567"/>
        <w:jc w:val="both"/>
        <w:rPr>
          <w:rFonts w:ascii="標楷體" w:eastAsia="標楷體" w:hAnsi="標楷體"/>
          <w:sz w:val="28"/>
          <w:szCs w:val="28"/>
        </w:rPr>
      </w:pPr>
      <w:r>
        <w:rPr>
          <w:rFonts w:ascii="標楷體" w:eastAsia="標楷體" w:hAnsi="標楷體"/>
          <w:sz w:val="28"/>
          <w:szCs w:val="28"/>
        </w:rPr>
        <w:t>風險告知。</w:t>
      </w:r>
    </w:p>
    <w:p w:rsidR="009A3095" w:rsidRDefault="001F5C46">
      <w:pPr>
        <w:pStyle w:val="10"/>
        <w:numPr>
          <w:ilvl w:val="0"/>
          <w:numId w:val="2"/>
        </w:numPr>
        <w:tabs>
          <w:tab w:val="left" w:pos="2364"/>
        </w:tabs>
        <w:spacing w:line="460" w:lineRule="exact"/>
        <w:ind w:left="1134" w:hanging="567"/>
        <w:jc w:val="both"/>
        <w:rPr>
          <w:rFonts w:ascii="標楷體" w:eastAsia="標楷體" w:hAnsi="標楷體"/>
          <w:sz w:val="28"/>
          <w:szCs w:val="28"/>
        </w:rPr>
      </w:pPr>
      <w:r>
        <w:rPr>
          <w:rFonts w:ascii="標楷體" w:eastAsia="標楷體" w:hAnsi="標楷體"/>
          <w:sz w:val="28"/>
          <w:szCs w:val="28"/>
        </w:rPr>
        <w:t>相關保險事宜。</w:t>
      </w:r>
    </w:p>
    <w:p w:rsidR="009A3095" w:rsidRDefault="001F5C46">
      <w:pPr>
        <w:pStyle w:val="10"/>
        <w:numPr>
          <w:ilvl w:val="0"/>
          <w:numId w:val="2"/>
        </w:numPr>
        <w:tabs>
          <w:tab w:val="left" w:pos="2499"/>
          <w:tab w:val="left" w:pos="3009"/>
        </w:tabs>
        <w:spacing w:line="460" w:lineRule="exact"/>
        <w:ind w:left="1134" w:hanging="567"/>
        <w:jc w:val="both"/>
        <w:rPr>
          <w:rFonts w:ascii="標楷體" w:eastAsia="標楷體" w:hAnsi="標楷體"/>
          <w:sz w:val="28"/>
          <w:szCs w:val="28"/>
        </w:rPr>
      </w:pPr>
      <w:r>
        <w:rPr>
          <w:rFonts w:ascii="標楷體" w:eastAsia="標楷體" w:hAnsi="標楷體"/>
          <w:sz w:val="28"/>
          <w:szCs w:val="28"/>
        </w:rPr>
        <w:t>消費爭議處理機制。</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戶外休閒活動舉辦者應於戶外休閒活動開始前，投保相關責任保險，其最低投保金額及範圍如下：</w:t>
      </w:r>
    </w:p>
    <w:p w:rsidR="009A3095" w:rsidRDefault="001F5C46">
      <w:pPr>
        <w:pStyle w:val="10"/>
        <w:numPr>
          <w:ilvl w:val="0"/>
          <w:numId w:val="11"/>
        </w:numPr>
        <w:spacing w:line="460" w:lineRule="exact"/>
        <w:ind w:left="1092" w:hanging="574"/>
        <w:jc w:val="both"/>
        <w:rPr>
          <w:rFonts w:ascii="標楷體" w:eastAsia="標楷體" w:hAnsi="標楷體"/>
          <w:kern w:val="0"/>
          <w:sz w:val="28"/>
          <w:szCs w:val="28"/>
        </w:rPr>
      </w:pPr>
      <w:r>
        <w:rPr>
          <w:rFonts w:ascii="標楷體" w:eastAsia="標楷體" w:hAnsi="標楷體"/>
          <w:kern w:val="0"/>
          <w:sz w:val="28"/>
          <w:szCs w:val="28"/>
        </w:rPr>
        <w:t>每一個人體傷責任之保險金額:新臺幣三百萬元。</w:t>
      </w:r>
    </w:p>
    <w:p w:rsidR="009A3095" w:rsidRDefault="001F5C46">
      <w:pPr>
        <w:pStyle w:val="10"/>
        <w:numPr>
          <w:ilvl w:val="0"/>
          <w:numId w:val="8"/>
        </w:numPr>
        <w:tabs>
          <w:tab w:val="left" w:pos="2334"/>
        </w:tabs>
        <w:spacing w:line="460" w:lineRule="exact"/>
        <w:ind w:left="1134" w:hanging="567"/>
        <w:jc w:val="both"/>
        <w:rPr>
          <w:rFonts w:ascii="標楷體" w:eastAsia="標楷體" w:hAnsi="標楷體"/>
          <w:kern w:val="0"/>
          <w:sz w:val="28"/>
          <w:szCs w:val="28"/>
        </w:rPr>
      </w:pPr>
      <w:r>
        <w:rPr>
          <w:rFonts w:ascii="標楷體" w:eastAsia="標楷體" w:hAnsi="標楷體"/>
          <w:kern w:val="0"/>
          <w:sz w:val="28"/>
          <w:szCs w:val="28"/>
        </w:rPr>
        <w:t>每一意外事故體傷責任之保險金額:新臺幣一千五百萬元。</w:t>
      </w:r>
    </w:p>
    <w:p w:rsidR="009A3095" w:rsidRDefault="001F5C46">
      <w:pPr>
        <w:pStyle w:val="10"/>
        <w:numPr>
          <w:ilvl w:val="0"/>
          <w:numId w:val="8"/>
        </w:numPr>
        <w:tabs>
          <w:tab w:val="left" w:pos="2334"/>
        </w:tabs>
        <w:spacing w:line="460" w:lineRule="exact"/>
        <w:ind w:left="1134" w:hanging="567"/>
        <w:jc w:val="both"/>
        <w:rPr>
          <w:rFonts w:ascii="標楷體" w:eastAsia="標楷體" w:hAnsi="標楷體"/>
          <w:kern w:val="0"/>
          <w:sz w:val="28"/>
          <w:szCs w:val="28"/>
        </w:rPr>
      </w:pPr>
      <w:r>
        <w:rPr>
          <w:rFonts w:ascii="標楷體" w:eastAsia="標楷體" w:hAnsi="標楷體"/>
          <w:kern w:val="0"/>
          <w:sz w:val="28"/>
          <w:szCs w:val="28"/>
        </w:rPr>
        <w:t>每一意外事故財物損失責任之保險金額：新臺幣二百萬元。</w:t>
      </w:r>
    </w:p>
    <w:p w:rsidR="009A3095" w:rsidRDefault="001F5C46">
      <w:pPr>
        <w:pStyle w:val="10"/>
        <w:numPr>
          <w:ilvl w:val="0"/>
          <w:numId w:val="8"/>
        </w:numPr>
        <w:tabs>
          <w:tab w:val="left" w:pos="2439"/>
        </w:tabs>
        <w:spacing w:line="460" w:lineRule="exact"/>
        <w:ind w:left="1134" w:hanging="567"/>
        <w:jc w:val="both"/>
        <w:rPr>
          <w:rFonts w:ascii="標楷體" w:eastAsia="標楷體" w:hAnsi="標楷體"/>
          <w:kern w:val="0"/>
          <w:sz w:val="28"/>
          <w:szCs w:val="28"/>
        </w:rPr>
      </w:pPr>
      <w:r>
        <w:rPr>
          <w:rFonts w:ascii="標楷體" w:eastAsia="標楷體" w:hAnsi="標楷體"/>
          <w:kern w:val="0"/>
          <w:sz w:val="28"/>
          <w:szCs w:val="28"/>
        </w:rPr>
        <w:t>保險期間之最高賠償金額：新臺幣三千四百萬元。</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戶外休閒活動舉辦者辦理戶外休閒活動前，應向消費者說明安全防護與緊急救護規劃及措施。</w:t>
      </w:r>
    </w:p>
    <w:p w:rsidR="009A3095" w:rsidRDefault="001F5C46">
      <w:pPr>
        <w:pStyle w:val="a5"/>
        <w:spacing w:line="460" w:lineRule="exact"/>
        <w:ind w:firstLine="540"/>
        <w:jc w:val="both"/>
        <w:rPr>
          <w:rFonts w:ascii="標楷體" w:eastAsia="標楷體" w:hAnsi="標楷體"/>
          <w:sz w:val="28"/>
          <w:szCs w:val="28"/>
        </w:rPr>
      </w:pPr>
      <w:r>
        <w:rPr>
          <w:rFonts w:ascii="標楷體" w:eastAsia="標楷體" w:hAnsi="標楷體"/>
          <w:sz w:val="28"/>
          <w:szCs w:val="28"/>
        </w:rPr>
        <w:lastRenderedPageBreak/>
        <w:t>戶外休閒活動舉辦者辦理戶外休閒活動前，應配合天候狀況採取應變措施;活動過程中，如遇天候狀況不佳，應停止或暫停活動，並即撤離至安全區域。</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戶外休閒活動舉辦者應確保廣告內容之真實，其對消費者所負之義務不得低於廣告之內容。</w:t>
      </w:r>
    </w:p>
    <w:p w:rsidR="009A3095" w:rsidRDefault="001F5C46">
      <w:pPr>
        <w:pStyle w:val="a5"/>
        <w:spacing w:line="460" w:lineRule="exact"/>
        <w:ind w:firstLine="554"/>
        <w:jc w:val="both"/>
        <w:rPr>
          <w:rFonts w:ascii="標楷體" w:eastAsia="標楷體" w:hAnsi="標楷體"/>
          <w:sz w:val="28"/>
          <w:szCs w:val="28"/>
        </w:rPr>
      </w:pPr>
      <w:r>
        <w:rPr>
          <w:rFonts w:ascii="標楷體" w:eastAsia="標楷體" w:hAnsi="標楷體"/>
          <w:sz w:val="28"/>
          <w:szCs w:val="28"/>
        </w:rPr>
        <w:t>戶外休閒活動舉辦者所為之廣告、宣傳文件、說明內容及相關資料，均為契約內容之一部分；如與契約內容有不一致者，以最有利於消費者之內容及說明為準。</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戶外休閒活動舉辦者提供之契約及相關網頁、社群、通訊媒體、廣告或在其他公開明顯處，不得表明下列事項：</w:t>
      </w:r>
    </w:p>
    <w:p w:rsidR="009A3095" w:rsidRDefault="001F5C46">
      <w:pPr>
        <w:pStyle w:val="10"/>
        <w:numPr>
          <w:ilvl w:val="0"/>
          <w:numId w:val="12"/>
        </w:numPr>
        <w:spacing w:line="460" w:lineRule="exact"/>
        <w:ind w:left="1134" w:hanging="567"/>
        <w:jc w:val="both"/>
      </w:pPr>
      <w:r>
        <w:rPr>
          <w:rFonts w:ascii="標楷體" w:eastAsia="標楷體" w:hAnsi="標楷體"/>
          <w:kern w:val="0"/>
          <w:sz w:val="28"/>
          <w:szCs w:val="28"/>
        </w:rPr>
        <w:t>內容僅供</w:t>
      </w:r>
      <w:r>
        <w:rPr>
          <w:rFonts w:ascii="標楷體" w:eastAsia="標楷體" w:hAnsi="標楷體"/>
          <w:sz w:val="28"/>
          <w:szCs w:val="28"/>
        </w:rPr>
        <w:t>參考</w:t>
      </w:r>
      <w:r>
        <w:rPr>
          <w:rFonts w:ascii="標楷體" w:eastAsia="標楷體" w:hAnsi="標楷體"/>
          <w:kern w:val="0"/>
          <w:sz w:val="28"/>
          <w:szCs w:val="28"/>
        </w:rPr>
        <w:t>，或使用其他不確定用語之文字。</w:t>
      </w:r>
    </w:p>
    <w:p w:rsidR="009A3095" w:rsidRDefault="001F5C46">
      <w:pPr>
        <w:pStyle w:val="10"/>
        <w:numPr>
          <w:ilvl w:val="0"/>
          <w:numId w:val="7"/>
        </w:numPr>
        <w:spacing w:line="460" w:lineRule="exact"/>
        <w:ind w:left="1134" w:hanging="567"/>
        <w:jc w:val="both"/>
        <w:rPr>
          <w:rFonts w:ascii="標楷體" w:eastAsia="標楷體" w:hAnsi="標楷體"/>
          <w:sz w:val="28"/>
          <w:szCs w:val="28"/>
        </w:rPr>
      </w:pPr>
      <w:r>
        <w:rPr>
          <w:rFonts w:ascii="標楷體" w:eastAsia="標楷體" w:hAnsi="標楷體"/>
          <w:sz w:val="28"/>
          <w:szCs w:val="28"/>
        </w:rPr>
        <w:t>排除消費者任意解除、終止契約之權利。</w:t>
      </w:r>
    </w:p>
    <w:p w:rsidR="009A3095" w:rsidRDefault="001F5C46">
      <w:pPr>
        <w:pStyle w:val="10"/>
        <w:numPr>
          <w:ilvl w:val="0"/>
          <w:numId w:val="7"/>
        </w:numPr>
        <w:spacing w:line="460" w:lineRule="exact"/>
        <w:ind w:left="1134" w:hanging="567"/>
        <w:jc w:val="both"/>
        <w:rPr>
          <w:rFonts w:ascii="標楷體" w:eastAsia="標楷體" w:hAnsi="標楷體"/>
          <w:sz w:val="28"/>
          <w:szCs w:val="28"/>
        </w:rPr>
      </w:pPr>
      <w:r>
        <w:rPr>
          <w:rFonts w:ascii="標楷體" w:eastAsia="標楷體" w:hAnsi="標楷體"/>
          <w:sz w:val="28"/>
          <w:szCs w:val="28"/>
        </w:rPr>
        <w:t>消費者對戶外休閒活動舉辦者片面變更契約內容不得異議。</w:t>
      </w:r>
    </w:p>
    <w:p w:rsidR="009A3095" w:rsidRDefault="001F5C46">
      <w:pPr>
        <w:pStyle w:val="10"/>
        <w:numPr>
          <w:ilvl w:val="0"/>
          <w:numId w:val="7"/>
        </w:numPr>
        <w:spacing w:line="460" w:lineRule="exact"/>
        <w:ind w:left="1134" w:hanging="567"/>
        <w:jc w:val="both"/>
        <w:rPr>
          <w:rFonts w:ascii="標楷體" w:eastAsia="標楷體" w:hAnsi="標楷體"/>
          <w:sz w:val="28"/>
          <w:szCs w:val="28"/>
        </w:rPr>
      </w:pPr>
      <w:r>
        <w:rPr>
          <w:rFonts w:ascii="標楷體" w:eastAsia="標楷體" w:hAnsi="標楷體"/>
          <w:sz w:val="28"/>
          <w:szCs w:val="28"/>
        </w:rPr>
        <w:t>戶外休閒活動舉辦者除收取約定之費用外，以其他方式變相或額外加價。</w:t>
      </w:r>
    </w:p>
    <w:p w:rsidR="009A3095" w:rsidRDefault="001F5C46">
      <w:pPr>
        <w:pStyle w:val="10"/>
        <w:numPr>
          <w:ilvl w:val="0"/>
          <w:numId w:val="7"/>
        </w:numPr>
        <w:spacing w:line="460" w:lineRule="exact"/>
        <w:ind w:left="1134" w:hanging="567"/>
        <w:jc w:val="both"/>
        <w:rPr>
          <w:rFonts w:ascii="標楷體" w:eastAsia="標楷體" w:hAnsi="標楷體"/>
          <w:sz w:val="28"/>
          <w:szCs w:val="28"/>
        </w:rPr>
      </w:pPr>
      <w:r>
        <w:rPr>
          <w:rFonts w:ascii="標楷體" w:eastAsia="標楷體" w:hAnsi="標楷體"/>
          <w:sz w:val="28"/>
          <w:szCs w:val="28"/>
        </w:rPr>
        <w:t>免除或減輕戶外休閒活動舉辦者依消費者保護法等相關法規規定應履行之義務。</w:t>
      </w:r>
    </w:p>
    <w:p w:rsidR="009A3095" w:rsidRDefault="001F5C46">
      <w:pPr>
        <w:pStyle w:val="10"/>
        <w:numPr>
          <w:ilvl w:val="0"/>
          <w:numId w:val="7"/>
        </w:numPr>
        <w:spacing w:line="460" w:lineRule="exact"/>
        <w:ind w:left="1134" w:hanging="567"/>
        <w:jc w:val="both"/>
        <w:rPr>
          <w:rFonts w:ascii="標楷體" w:eastAsia="標楷體" w:hAnsi="標楷體"/>
          <w:sz w:val="28"/>
          <w:szCs w:val="28"/>
        </w:rPr>
      </w:pPr>
      <w:r>
        <w:rPr>
          <w:rFonts w:ascii="標楷體" w:eastAsia="標楷體" w:hAnsi="標楷體"/>
          <w:sz w:val="28"/>
          <w:szCs w:val="28"/>
        </w:rPr>
        <w:t>排除對戶外休閒活動舉辦者履行輔助人所生責任之約定。</w:t>
      </w:r>
    </w:p>
    <w:p w:rsidR="009A3095" w:rsidRDefault="001F5C46">
      <w:pPr>
        <w:pStyle w:val="10"/>
        <w:numPr>
          <w:ilvl w:val="0"/>
          <w:numId w:val="7"/>
        </w:numPr>
        <w:spacing w:line="460" w:lineRule="exact"/>
        <w:ind w:left="1134" w:hanging="567"/>
        <w:jc w:val="both"/>
        <w:rPr>
          <w:rFonts w:ascii="標楷體" w:eastAsia="標楷體" w:hAnsi="標楷體"/>
          <w:sz w:val="28"/>
          <w:szCs w:val="28"/>
        </w:rPr>
      </w:pPr>
      <w:r>
        <w:rPr>
          <w:rFonts w:ascii="標楷體" w:eastAsia="標楷體" w:hAnsi="標楷體"/>
          <w:sz w:val="28"/>
          <w:szCs w:val="28"/>
        </w:rPr>
        <w:t>其他違反誠信原則、平等互惠原則等不利消費者之約定。</w:t>
      </w:r>
    </w:p>
    <w:p w:rsidR="009A3095" w:rsidRDefault="001F5C46">
      <w:pPr>
        <w:pStyle w:val="a5"/>
        <w:numPr>
          <w:ilvl w:val="0"/>
          <w:numId w:val="4"/>
        </w:numPr>
        <w:spacing w:line="460" w:lineRule="exact"/>
        <w:ind w:left="566" w:hanging="566"/>
        <w:jc w:val="both"/>
        <w:rPr>
          <w:rFonts w:ascii="標楷體" w:eastAsia="標楷體" w:hAnsi="標楷體"/>
          <w:sz w:val="28"/>
          <w:szCs w:val="28"/>
        </w:rPr>
      </w:pPr>
      <w:r>
        <w:rPr>
          <w:rFonts w:ascii="標楷體" w:eastAsia="標楷體" w:hAnsi="標楷體"/>
          <w:sz w:val="28"/>
          <w:szCs w:val="28"/>
        </w:rPr>
        <w:t>消費者於戶外休閒活動發生身體或財產上事故時，戶外休閒活動舉辦者應盡善良管理人之注意，協助救護、送醫或為其他必要之處理。</w:t>
      </w:r>
    </w:p>
    <w:p w:rsidR="009A3095" w:rsidRDefault="001F5C46">
      <w:pPr>
        <w:pStyle w:val="a5"/>
        <w:numPr>
          <w:ilvl w:val="0"/>
          <w:numId w:val="4"/>
        </w:numPr>
        <w:spacing w:line="460" w:lineRule="exact"/>
        <w:ind w:left="848" w:hanging="848"/>
        <w:jc w:val="both"/>
        <w:rPr>
          <w:rFonts w:ascii="標楷體" w:eastAsia="標楷體" w:hAnsi="標楷體"/>
          <w:sz w:val="28"/>
          <w:szCs w:val="28"/>
        </w:rPr>
      </w:pPr>
      <w:r>
        <w:rPr>
          <w:rFonts w:ascii="標楷體" w:eastAsia="標楷體" w:hAnsi="標楷體"/>
          <w:sz w:val="28"/>
          <w:szCs w:val="28"/>
        </w:rPr>
        <w:t>戶外休閒活動舉辦者因辦理活動所持有消費者之個人資料，應遵守個人資料保護法相關規定，不得移作其他用途。</w:t>
      </w:r>
    </w:p>
    <w:p w:rsidR="009A3095" w:rsidRDefault="001F5C46">
      <w:pPr>
        <w:pStyle w:val="a5"/>
        <w:numPr>
          <w:ilvl w:val="0"/>
          <w:numId w:val="4"/>
        </w:numPr>
        <w:spacing w:line="460" w:lineRule="exact"/>
        <w:ind w:left="848" w:hanging="848"/>
        <w:jc w:val="both"/>
        <w:rPr>
          <w:rFonts w:ascii="標楷體" w:eastAsia="標楷體" w:hAnsi="標楷體"/>
          <w:sz w:val="28"/>
          <w:szCs w:val="28"/>
        </w:rPr>
      </w:pPr>
      <w:r>
        <w:rPr>
          <w:rFonts w:ascii="標楷體" w:eastAsia="標楷體" w:hAnsi="標楷體"/>
          <w:sz w:val="28"/>
          <w:szCs w:val="28"/>
        </w:rPr>
        <w:t>戶外休閒活動各主管機關應向消費者宣導其主管戶外休閒活動之安全教育、風險管理認知及慎選戶外休閒活動舉辦者。</w:t>
      </w:r>
    </w:p>
    <w:p w:rsidR="009A3095" w:rsidRDefault="001F5C46">
      <w:pPr>
        <w:pStyle w:val="a5"/>
        <w:spacing w:line="460" w:lineRule="exact"/>
        <w:ind w:left="720" w:firstLine="554"/>
        <w:jc w:val="both"/>
        <w:rPr>
          <w:rFonts w:ascii="標楷體" w:eastAsia="標楷體" w:hAnsi="標楷體"/>
          <w:sz w:val="28"/>
          <w:szCs w:val="28"/>
        </w:rPr>
      </w:pPr>
      <w:r>
        <w:rPr>
          <w:rFonts w:ascii="標楷體" w:eastAsia="標楷體" w:hAnsi="標楷體"/>
          <w:sz w:val="28"/>
          <w:szCs w:val="28"/>
        </w:rPr>
        <w:t>戶外休閒活動各主管機關應督促戶外休閒活動舉辦者遵守主管機關相關規定及本注意事項規範。</w:t>
      </w:r>
    </w:p>
    <w:p w:rsidR="009A3095" w:rsidRDefault="009A3095">
      <w:pPr>
        <w:pStyle w:val="Standard"/>
        <w:spacing w:line="460" w:lineRule="exact"/>
        <w:ind w:left="425" w:hanging="425"/>
      </w:pPr>
    </w:p>
    <w:sectPr w:rsidR="009A3095">
      <w:footerReference w:type="default" r:id="rId7"/>
      <w:pgSz w:w="11906" w:h="16838"/>
      <w:pgMar w:top="1440" w:right="1715"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57D" w:rsidRDefault="00A9657D">
      <w:r>
        <w:separator/>
      </w:r>
    </w:p>
  </w:endnote>
  <w:endnote w:type="continuationSeparator" w:id="0">
    <w:p w:rsidR="00A9657D" w:rsidRDefault="00A9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思源黑體 TW">
    <w:panose1 w:val="020B0500000000000000"/>
    <w:charset w:val="88"/>
    <w:family w:val="swiss"/>
    <w:notTrueType/>
    <w:pitch w:val="variable"/>
    <w:sig w:usb0="20000287" w:usb1="2ADF3C10" w:usb2="00000016" w:usb3="00000000" w:csb0="001201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F5C46">
    <w:pPr>
      <w:pStyle w:val="a7"/>
      <w:jc w:val="center"/>
    </w:pPr>
    <w:r>
      <w:fldChar w:fldCharType="begin"/>
    </w:r>
    <w:r>
      <w:instrText xml:space="preserve"> PAGE </w:instrText>
    </w:r>
    <w:r>
      <w:fldChar w:fldCharType="separate"/>
    </w:r>
    <w:r>
      <w:t>2</w:t>
    </w:r>
    <w:r>
      <w:fldChar w:fldCharType="end"/>
    </w:r>
  </w:p>
  <w:p w:rsidR="0000000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57D" w:rsidRDefault="00A9657D">
      <w:r>
        <w:rPr>
          <w:color w:val="000000"/>
        </w:rPr>
        <w:separator/>
      </w:r>
    </w:p>
  </w:footnote>
  <w:footnote w:type="continuationSeparator" w:id="0">
    <w:p w:rsidR="00A9657D" w:rsidRDefault="00A96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319B"/>
    <w:multiLevelType w:val="multilevel"/>
    <w:tmpl w:val="9B48A838"/>
    <w:styleLink w:val="WWNum1"/>
    <w:lvl w:ilvl="0">
      <w:start w:val="1"/>
      <w:numFmt w:val="japaneseCounting"/>
      <w:lvlText w:val="(%1)"/>
      <w:lvlJc w:val="left"/>
      <w:pPr>
        <w:ind w:left="3720" w:hanging="480"/>
      </w:pPr>
      <w:rPr>
        <w:rFonts w:ascii="標楷體" w:eastAsia="標楷體" w:hAnsi="標楷體"/>
        <w:color w:val="000000"/>
        <w:sz w:val="28"/>
        <w:szCs w:val="28"/>
      </w:rPr>
    </w:lvl>
    <w:lvl w:ilvl="1">
      <w:start w:val="1"/>
      <w:numFmt w:val="ideographTraditional"/>
      <w:lvlText w:val="%1.%2、"/>
      <w:lvlJc w:val="left"/>
      <w:pPr>
        <w:ind w:left="4200" w:hanging="480"/>
      </w:pPr>
    </w:lvl>
    <w:lvl w:ilvl="2">
      <w:start w:val="1"/>
      <w:numFmt w:val="lowerRoman"/>
      <w:lvlText w:val="%1.%2.%3."/>
      <w:lvlJc w:val="right"/>
      <w:pPr>
        <w:ind w:left="4680" w:hanging="480"/>
      </w:pPr>
    </w:lvl>
    <w:lvl w:ilvl="3">
      <w:start w:val="1"/>
      <w:numFmt w:val="decimal"/>
      <w:lvlText w:val="%1.%2.%3.%4."/>
      <w:lvlJc w:val="left"/>
      <w:pPr>
        <w:ind w:left="5160" w:hanging="480"/>
      </w:pPr>
    </w:lvl>
    <w:lvl w:ilvl="4">
      <w:start w:val="1"/>
      <w:numFmt w:val="ideographTraditional"/>
      <w:lvlText w:val="%1.%2.%3.%4.%5、"/>
      <w:lvlJc w:val="left"/>
      <w:pPr>
        <w:ind w:left="5640" w:hanging="480"/>
      </w:pPr>
    </w:lvl>
    <w:lvl w:ilvl="5">
      <w:start w:val="1"/>
      <w:numFmt w:val="lowerRoman"/>
      <w:lvlText w:val="%1.%2.%3.%4.%5.%6."/>
      <w:lvlJc w:val="right"/>
      <w:pPr>
        <w:ind w:left="6120" w:hanging="480"/>
      </w:pPr>
    </w:lvl>
    <w:lvl w:ilvl="6">
      <w:start w:val="1"/>
      <w:numFmt w:val="decimal"/>
      <w:lvlText w:val="%1.%2.%3.%4.%5.%6.%7."/>
      <w:lvlJc w:val="left"/>
      <w:pPr>
        <w:ind w:left="6600" w:hanging="480"/>
      </w:pPr>
    </w:lvl>
    <w:lvl w:ilvl="7">
      <w:start w:val="1"/>
      <w:numFmt w:val="ideographTraditional"/>
      <w:lvlText w:val="%1.%2.%3.%4.%5.%6.%7.%8、"/>
      <w:lvlJc w:val="left"/>
      <w:pPr>
        <w:ind w:left="7080" w:hanging="480"/>
      </w:pPr>
    </w:lvl>
    <w:lvl w:ilvl="8">
      <w:start w:val="1"/>
      <w:numFmt w:val="lowerRoman"/>
      <w:lvlText w:val="%1.%2.%3.%4.%5.%6.%7.%8.%9."/>
      <w:lvlJc w:val="right"/>
      <w:pPr>
        <w:ind w:left="7560" w:hanging="480"/>
      </w:pPr>
    </w:lvl>
  </w:abstractNum>
  <w:abstractNum w:abstractNumId="1" w15:restartNumberingAfterBreak="0">
    <w:nsid w:val="24E644E4"/>
    <w:multiLevelType w:val="multilevel"/>
    <w:tmpl w:val="2C30B622"/>
    <w:styleLink w:val="WWNum6"/>
    <w:lvl w:ilvl="0">
      <w:start w:val="1"/>
      <w:numFmt w:val="japaneseCounting"/>
      <w:lvlText w:val="(%1)"/>
      <w:lvlJc w:val="left"/>
      <w:pPr>
        <w:ind w:left="984" w:hanging="480"/>
      </w:pPr>
      <w:rPr>
        <w:rFonts w:ascii="標楷體" w:eastAsia="標楷體" w:hAnsi="標楷體"/>
        <w:color w:val="000000"/>
      </w:rPr>
    </w:lvl>
    <w:lvl w:ilvl="1">
      <w:start w:val="1"/>
      <w:numFmt w:val="ideographTraditional"/>
      <w:lvlText w:val="%1.%2、"/>
      <w:lvlJc w:val="left"/>
      <w:pPr>
        <w:ind w:left="1464" w:hanging="480"/>
      </w:pPr>
    </w:lvl>
    <w:lvl w:ilvl="2">
      <w:start w:val="1"/>
      <w:numFmt w:val="lowerRoman"/>
      <w:lvlText w:val="%1.%2.%3."/>
      <w:lvlJc w:val="right"/>
      <w:pPr>
        <w:ind w:left="1944" w:hanging="480"/>
      </w:pPr>
    </w:lvl>
    <w:lvl w:ilvl="3">
      <w:start w:val="1"/>
      <w:numFmt w:val="decimal"/>
      <w:lvlText w:val="%1.%2.%3.%4."/>
      <w:lvlJc w:val="left"/>
      <w:pPr>
        <w:ind w:left="2424" w:hanging="480"/>
      </w:pPr>
    </w:lvl>
    <w:lvl w:ilvl="4">
      <w:start w:val="1"/>
      <w:numFmt w:val="ideographTraditional"/>
      <w:lvlText w:val="%1.%2.%3.%4.%5、"/>
      <w:lvlJc w:val="left"/>
      <w:pPr>
        <w:ind w:left="2904" w:hanging="480"/>
      </w:pPr>
    </w:lvl>
    <w:lvl w:ilvl="5">
      <w:start w:val="1"/>
      <w:numFmt w:val="lowerRoman"/>
      <w:lvlText w:val="%1.%2.%3.%4.%5.%6."/>
      <w:lvlJc w:val="right"/>
      <w:pPr>
        <w:ind w:left="3384" w:hanging="480"/>
      </w:pPr>
    </w:lvl>
    <w:lvl w:ilvl="6">
      <w:start w:val="1"/>
      <w:numFmt w:val="decimal"/>
      <w:lvlText w:val="%1.%2.%3.%4.%5.%6.%7."/>
      <w:lvlJc w:val="left"/>
      <w:pPr>
        <w:ind w:left="3864" w:hanging="480"/>
      </w:pPr>
    </w:lvl>
    <w:lvl w:ilvl="7">
      <w:start w:val="1"/>
      <w:numFmt w:val="ideographTraditional"/>
      <w:lvlText w:val="%1.%2.%3.%4.%5.%6.%7.%8、"/>
      <w:lvlJc w:val="left"/>
      <w:pPr>
        <w:ind w:left="4344" w:hanging="480"/>
      </w:pPr>
    </w:lvl>
    <w:lvl w:ilvl="8">
      <w:start w:val="1"/>
      <w:numFmt w:val="lowerRoman"/>
      <w:lvlText w:val="%1.%2.%3.%4.%5.%6.%7.%8.%9."/>
      <w:lvlJc w:val="right"/>
      <w:pPr>
        <w:ind w:left="4824" w:hanging="480"/>
      </w:pPr>
    </w:lvl>
  </w:abstractNum>
  <w:abstractNum w:abstractNumId="2" w15:restartNumberingAfterBreak="0">
    <w:nsid w:val="413E2C29"/>
    <w:multiLevelType w:val="multilevel"/>
    <w:tmpl w:val="CBC4B67C"/>
    <w:styleLink w:val="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3" w15:restartNumberingAfterBreak="0">
    <w:nsid w:val="4C220A1C"/>
    <w:multiLevelType w:val="multilevel"/>
    <w:tmpl w:val="EB6AF162"/>
    <w:styleLink w:val="WWNum3"/>
    <w:lvl w:ilvl="0">
      <w:start w:val="1"/>
      <w:numFmt w:val="japaneseCounting"/>
      <w:lvlText w:val="%1、"/>
      <w:lvlJc w:val="left"/>
      <w:pPr>
        <w:ind w:left="960" w:hanging="480"/>
      </w:pPr>
      <w:rPr>
        <w:rFonts w:ascii="標楷體" w:eastAsia="標楷體" w:hAnsi="標楷體"/>
        <w:sz w:val="28"/>
        <w:szCs w:val="28"/>
        <w:lang w:val="en-US"/>
      </w:rPr>
    </w:lvl>
    <w:lvl w:ilvl="1">
      <w:start w:val="1"/>
      <w:numFmt w:val="japaneseCounting"/>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4" w15:restartNumberingAfterBreak="0">
    <w:nsid w:val="65BF0AA0"/>
    <w:multiLevelType w:val="multilevel"/>
    <w:tmpl w:val="BDA04166"/>
    <w:styleLink w:val="WWNum5"/>
    <w:lvl w:ilvl="0">
      <w:start w:val="1"/>
      <w:numFmt w:val="japaneseCounting"/>
      <w:lvlText w:val="(%1)"/>
      <w:lvlJc w:val="left"/>
      <w:pPr>
        <w:ind w:left="3720" w:hanging="480"/>
      </w:pPr>
      <w:rPr>
        <w:rFonts w:ascii="標楷體" w:eastAsia="標楷體" w:hAnsi="標楷體"/>
        <w:color w:val="000000"/>
      </w:rPr>
    </w:lvl>
    <w:lvl w:ilvl="1">
      <w:start w:val="1"/>
      <w:numFmt w:val="ideographTraditional"/>
      <w:lvlText w:val="%1.%2、"/>
      <w:lvlJc w:val="left"/>
      <w:pPr>
        <w:ind w:left="4200" w:hanging="480"/>
      </w:pPr>
    </w:lvl>
    <w:lvl w:ilvl="2">
      <w:start w:val="1"/>
      <w:numFmt w:val="lowerRoman"/>
      <w:lvlText w:val="%1.%2.%3."/>
      <w:lvlJc w:val="right"/>
      <w:pPr>
        <w:ind w:left="4680" w:hanging="480"/>
      </w:pPr>
    </w:lvl>
    <w:lvl w:ilvl="3">
      <w:start w:val="1"/>
      <w:numFmt w:val="decimal"/>
      <w:lvlText w:val="%1.%2.%3.%4."/>
      <w:lvlJc w:val="left"/>
      <w:pPr>
        <w:ind w:left="5160" w:hanging="480"/>
      </w:pPr>
    </w:lvl>
    <w:lvl w:ilvl="4">
      <w:start w:val="1"/>
      <w:numFmt w:val="ideographTraditional"/>
      <w:lvlText w:val="%1.%2.%3.%4.%5、"/>
      <w:lvlJc w:val="left"/>
      <w:pPr>
        <w:ind w:left="5640" w:hanging="480"/>
      </w:pPr>
    </w:lvl>
    <w:lvl w:ilvl="5">
      <w:start w:val="1"/>
      <w:numFmt w:val="lowerRoman"/>
      <w:lvlText w:val="%1.%2.%3.%4.%5.%6."/>
      <w:lvlJc w:val="right"/>
      <w:pPr>
        <w:ind w:left="6120" w:hanging="480"/>
      </w:pPr>
    </w:lvl>
    <w:lvl w:ilvl="6">
      <w:start w:val="1"/>
      <w:numFmt w:val="decimal"/>
      <w:lvlText w:val="%1.%2.%3.%4.%5.%6.%7."/>
      <w:lvlJc w:val="left"/>
      <w:pPr>
        <w:ind w:left="6600" w:hanging="480"/>
      </w:pPr>
    </w:lvl>
    <w:lvl w:ilvl="7">
      <w:start w:val="1"/>
      <w:numFmt w:val="ideographTraditional"/>
      <w:lvlText w:val="%1.%2.%3.%4.%5.%6.%7.%8、"/>
      <w:lvlJc w:val="left"/>
      <w:pPr>
        <w:ind w:left="7080" w:hanging="480"/>
      </w:pPr>
    </w:lvl>
    <w:lvl w:ilvl="8">
      <w:start w:val="1"/>
      <w:numFmt w:val="lowerRoman"/>
      <w:lvlText w:val="%1.%2.%3.%4.%5.%6.%7.%8.%9."/>
      <w:lvlJc w:val="right"/>
      <w:pPr>
        <w:ind w:left="7560" w:hanging="480"/>
      </w:pPr>
    </w:lvl>
  </w:abstractNum>
  <w:abstractNum w:abstractNumId="5" w15:restartNumberingAfterBreak="0">
    <w:nsid w:val="6B915F83"/>
    <w:multiLevelType w:val="multilevel"/>
    <w:tmpl w:val="F030ED8C"/>
    <w:styleLink w:val="WWNum7"/>
    <w:lvl w:ilvl="0">
      <w:start w:val="1"/>
      <w:numFmt w:val="japaneseCounting"/>
      <w:lvlText w:val="(%1)"/>
      <w:lvlJc w:val="left"/>
      <w:pPr>
        <w:ind w:left="3720" w:hanging="480"/>
      </w:pPr>
      <w:rPr>
        <w:rFonts w:ascii="標楷體" w:eastAsia="標楷體" w:hAnsi="標楷體"/>
        <w:color w:val="000000"/>
      </w:rPr>
    </w:lvl>
    <w:lvl w:ilvl="1">
      <w:start w:val="1"/>
      <w:numFmt w:val="ideographTraditional"/>
      <w:lvlText w:val="%1.%2、"/>
      <w:lvlJc w:val="left"/>
      <w:pPr>
        <w:ind w:left="4200" w:hanging="480"/>
      </w:pPr>
    </w:lvl>
    <w:lvl w:ilvl="2">
      <w:start w:val="1"/>
      <w:numFmt w:val="lowerRoman"/>
      <w:lvlText w:val="%1.%2.%3."/>
      <w:lvlJc w:val="right"/>
      <w:pPr>
        <w:ind w:left="4680" w:hanging="480"/>
      </w:pPr>
    </w:lvl>
    <w:lvl w:ilvl="3">
      <w:start w:val="1"/>
      <w:numFmt w:val="decimal"/>
      <w:lvlText w:val="%1.%2.%3.%4."/>
      <w:lvlJc w:val="left"/>
      <w:pPr>
        <w:ind w:left="5160" w:hanging="480"/>
      </w:pPr>
    </w:lvl>
    <w:lvl w:ilvl="4">
      <w:start w:val="1"/>
      <w:numFmt w:val="ideographTraditional"/>
      <w:lvlText w:val="%1.%2.%3.%4.%5、"/>
      <w:lvlJc w:val="left"/>
      <w:pPr>
        <w:ind w:left="5640" w:hanging="480"/>
      </w:pPr>
    </w:lvl>
    <w:lvl w:ilvl="5">
      <w:start w:val="1"/>
      <w:numFmt w:val="lowerRoman"/>
      <w:lvlText w:val="%1.%2.%3.%4.%5.%6."/>
      <w:lvlJc w:val="right"/>
      <w:pPr>
        <w:ind w:left="6120" w:hanging="480"/>
      </w:pPr>
    </w:lvl>
    <w:lvl w:ilvl="6">
      <w:start w:val="1"/>
      <w:numFmt w:val="decimal"/>
      <w:lvlText w:val="%1.%2.%3.%4.%5.%6.%7."/>
      <w:lvlJc w:val="left"/>
      <w:pPr>
        <w:ind w:left="6600" w:hanging="480"/>
      </w:pPr>
    </w:lvl>
    <w:lvl w:ilvl="7">
      <w:start w:val="1"/>
      <w:numFmt w:val="ideographTraditional"/>
      <w:lvlText w:val="%1.%2.%3.%4.%5.%6.%7.%8、"/>
      <w:lvlJc w:val="left"/>
      <w:pPr>
        <w:ind w:left="7080" w:hanging="480"/>
      </w:pPr>
    </w:lvl>
    <w:lvl w:ilvl="8">
      <w:start w:val="1"/>
      <w:numFmt w:val="lowerRoman"/>
      <w:lvlText w:val="%1.%2.%3.%4.%5.%6.%7.%8.%9."/>
      <w:lvlJc w:val="right"/>
      <w:pPr>
        <w:ind w:left="7560" w:hanging="480"/>
      </w:pPr>
    </w:lvl>
  </w:abstractNum>
  <w:abstractNum w:abstractNumId="6" w15:restartNumberingAfterBreak="0">
    <w:nsid w:val="76934455"/>
    <w:multiLevelType w:val="multilevel"/>
    <w:tmpl w:val="40DE0CD6"/>
    <w:styleLink w:val="WWNum4"/>
    <w:lvl w:ilvl="0">
      <w:start w:val="1"/>
      <w:numFmt w:val="japaneseCounting"/>
      <w:lvlText w:val="(%1)"/>
      <w:lvlJc w:val="left"/>
      <w:pPr>
        <w:ind w:left="960" w:hanging="480"/>
      </w:pPr>
      <w:rPr>
        <w:rFonts w:ascii="標楷體" w:eastAsia="標楷體" w:hAnsi="標楷體" w:cs="Times New Roman"/>
        <w:color w:val="000000"/>
        <w:szCs w:val="24"/>
      </w:r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7" w15:restartNumberingAfterBreak="0">
    <w:nsid w:val="7F9379F4"/>
    <w:multiLevelType w:val="multilevel"/>
    <w:tmpl w:val="8B70CFE2"/>
    <w:styleLink w:val="WWNum2"/>
    <w:lvl w:ilvl="0">
      <w:start w:val="1"/>
      <w:numFmt w:val="japaneseCounting"/>
      <w:lvlText w:val="(%1)"/>
      <w:lvlJc w:val="left"/>
      <w:pPr>
        <w:ind w:left="960" w:hanging="480"/>
      </w:pPr>
      <w:rPr>
        <w:rFonts w:ascii="標楷體" w:eastAsia="標楷體" w:hAnsi="標楷體" w:cs="Times New Roman"/>
        <w:color w:val="000000"/>
        <w:szCs w:val="24"/>
      </w:r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num w:numId="1" w16cid:durableId="1310742258">
    <w:abstractNumId w:val="2"/>
  </w:num>
  <w:num w:numId="2" w16cid:durableId="421027389">
    <w:abstractNumId w:val="0"/>
  </w:num>
  <w:num w:numId="3" w16cid:durableId="1709143620">
    <w:abstractNumId w:val="7"/>
  </w:num>
  <w:num w:numId="4" w16cid:durableId="1867056959">
    <w:abstractNumId w:val="3"/>
  </w:num>
  <w:num w:numId="5" w16cid:durableId="1460487576">
    <w:abstractNumId w:val="6"/>
  </w:num>
  <w:num w:numId="6" w16cid:durableId="794250303">
    <w:abstractNumId w:val="4"/>
  </w:num>
  <w:num w:numId="7" w16cid:durableId="2127773364">
    <w:abstractNumId w:val="1"/>
  </w:num>
  <w:num w:numId="8" w16cid:durableId="1312949550">
    <w:abstractNumId w:val="5"/>
  </w:num>
  <w:num w:numId="9" w16cid:durableId="846559462">
    <w:abstractNumId w:val="3"/>
    <w:lvlOverride w:ilvl="0">
      <w:startOverride w:val="1"/>
    </w:lvlOverride>
  </w:num>
  <w:num w:numId="10" w16cid:durableId="393309884">
    <w:abstractNumId w:val="0"/>
    <w:lvlOverride w:ilvl="0">
      <w:startOverride w:val="1"/>
    </w:lvlOverride>
  </w:num>
  <w:num w:numId="11" w16cid:durableId="2031373858">
    <w:abstractNumId w:val="5"/>
    <w:lvlOverride w:ilvl="0">
      <w:startOverride w:val="1"/>
    </w:lvlOverride>
  </w:num>
  <w:num w:numId="12" w16cid:durableId="93841616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95"/>
    <w:rsid w:val="001F5C46"/>
    <w:rsid w:val="007342B7"/>
    <w:rsid w:val="009A3095"/>
    <w:rsid w:val="00A9657D"/>
    <w:rsid w:val="00AF6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2EC01-74BF-4FC1-B646-27706C9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customStyle="1" w:styleId="10">
    <w:name w:val="清單段落1"/>
    <w:basedOn w:val="Standard"/>
    <w:pPr>
      <w:ind w:left="480"/>
    </w:pPr>
    <w:rPr>
      <w:rFonts w:ascii="Calibri" w:eastAsia="Calibri" w:hAnsi="Calibri" w:cs="Calibri"/>
      <w:szCs w:val="22"/>
    </w:rPr>
  </w:style>
  <w:style w:type="paragraph" w:styleId="a5">
    <w:name w:val="List Paragraph"/>
    <w:basedOn w:val="Standard"/>
    <w:pPr>
      <w:widowControl/>
      <w:ind w:left="480"/>
    </w:pPr>
    <w:rPr>
      <w:rFonts w:ascii="新細明體" w:hAnsi="新細明體" w:cs="新細明體"/>
      <w:kern w:val="0"/>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 w:type="character" w:customStyle="1" w:styleId="ListLabel1">
    <w:name w:val="ListLabel 1"/>
    <w:rPr>
      <w:rFonts w:ascii="標楷體" w:eastAsia="標楷體" w:hAnsi="標楷體" w:cs="標楷體"/>
      <w:color w:val="000000"/>
      <w:sz w:val="28"/>
      <w:szCs w:val="28"/>
    </w:rPr>
  </w:style>
  <w:style w:type="character" w:customStyle="1" w:styleId="ListLabel2">
    <w:name w:val="ListLabel 2"/>
    <w:rPr>
      <w:rFonts w:ascii="標楷體" w:eastAsia="標楷體" w:hAnsi="標楷體" w:cs="Times New Roman"/>
      <w:color w:val="000000"/>
      <w:szCs w:val="24"/>
    </w:rPr>
  </w:style>
  <w:style w:type="character" w:customStyle="1" w:styleId="ListLabel3">
    <w:name w:val="ListLabel 3"/>
    <w:rPr>
      <w:rFonts w:ascii="標楷體" w:eastAsia="標楷體" w:hAnsi="標楷體" w:cs="標楷體"/>
      <w:sz w:val="28"/>
      <w:szCs w:val="28"/>
      <w:lang w:val="en-US"/>
    </w:rPr>
  </w:style>
  <w:style w:type="character" w:customStyle="1" w:styleId="ListLabel4">
    <w:name w:val="ListLabel 4"/>
    <w:rPr>
      <w:rFonts w:ascii="標楷體" w:eastAsia="標楷體" w:hAnsi="標楷體" w:cs="Times New Roman"/>
      <w:color w:val="000000"/>
      <w:szCs w:val="24"/>
    </w:rPr>
  </w:style>
  <w:style w:type="character" w:customStyle="1" w:styleId="ListLabel5">
    <w:name w:val="ListLabel 5"/>
    <w:rPr>
      <w:rFonts w:ascii="標楷體" w:eastAsia="標楷體" w:hAnsi="標楷體" w:cs="標楷體"/>
      <w:color w:val="000000"/>
    </w:rPr>
  </w:style>
  <w:style w:type="character" w:customStyle="1" w:styleId="ListLabel6">
    <w:name w:val="ListLabel 6"/>
    <w:rPr>
      <w:rFonts w:ascii="標楷體" w:eastAsia="標楷體" w:hAnsi="標楷體" w:cs="標楷體"/>
      <w:color w:val="000000"/>
    </w:rPr>
  </w:style>
  <w:style w:type="character" w:customStyle="1" w:styleId="ListLabel7">
    <w:name w:val="ListLabel 7"/>
    <w:rPr>
      <w:rFonts w:ascii="標楷體" w:eastAsia="標楷體" w:hAnsi="標楷體" w:cs="標楷體"/>
      <w:color w:val="00000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259 a300</cp:lastModifiedBy>
  <cp:revision>2</cp:revision>
  <cp:lastPrinted>2023-08-07T09:14:00Z</cp:lastPrinted>
  <dcterms:created xsi:type="dcterms:W3CDTF">2023-08-18T09:58:00Z</dcterms:created>
  <dcterms:modified xsi:type="dcterms:W3CDTF">2023-08-18T09:58:00Z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