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CA" w:rsidRPr="00E07ECA" w:rsidRDefault="00E07ECA" w:rsidP="00E07ECA">
      <w:pPr>
        <w:widowControl/>
        <w:spacing w:before="100" w:beforeAutospacing="1" w:after="100" w:afterAutospacing="1"/>
        <w:jc w:val="center"/>
        <w:outlineLvl w:val="0"/>
        <w:rPr>
          <w:rFonts w:ascii="新細明體" w:eastAsia="新細明體" w:hAnsi="新細明體" w:cs="新細明體"/>
          <w:b/>
          <w:bCs/>
          <w:color w:val="FF0000"/>
          <w:kern w:val="36"/>
          <w:sz w:val="36"/>
          <w:szCs w:val="36"/>
        </w:rPr>
      </w:pPr>
      <w:r w:rsidRPr="00E07ECA">
        <w:rPr>
          <w:rFonts w:ascii="新細明體" w:eastAsia="新細明體" w:hAnsi="新細明體" w:cs="新細明體" w:hint="eastAsia"/>
          <w:b/>
          <w:bCs/>
          <w:color w:val="FF0000"/>
          <w:kern w:val="36"/>
          <w:sz w:val="36"/>
          <w:szCs w:val="36"/>
        </w:rPr>
        <w:t>修正《森林法》嚴懲山老鼠並強化國土保安</w:t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jc w:val="right"/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◎陳炎輝</w:t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outlineLvl w:val="3"/>
        <w:rPr>
          <w:rFonts w:ascii="新細明體" w:eastAsia="新細明體" w:hAnsi="新細明體" w:cs="新細明體" w:hint="eastAsia"/>
          <w:b/>
          <w:bCs/>
          <w:color w:val="0000FF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b/>
          <w:bCs/>
          <w:color w:val="0000FF"/>
          <w:kern w:val="0"/>
          <w:sz w:val="20"/>
          <w:szCs w:val="20"/>
        </w:rPr>
        <w:t>壹、修法嚴懲竊取盜伐珍貴林木犯罪行為</w:t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　　臺灣地區森林資源豐富，林相變化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萬千，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森林除具有涵養水源、淨化水質、調節溫度與氣候、改善空氣品質、強化國土保安、鞏固土壤避免流失，森林遊樂及木材生產等多種功能外，並可作為各種動植物庇護的場所，是以維持自然生態的多元與多樣性，實為我國彌足珍貴之資產，並為全民安適生存的重要依據。森林大致上可分為經濟林與保安林，經濟林係以林木生產為目的，著重於經濟生產功能，但我國自民國79年起，已全面禁伐天然林，經濟產值已大幅降低；保安林則是以國土保安為目標，著重於公益性功能，依《森林法》（下稱本法）第24條第１項規定：「保安林之管理經營，不論所有權屬，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均以社會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公益為目的。各種保安林，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應分別依其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特性合理經營、撫育、更新，並以擇伐為主。」簡言之，保安林是為了達到特定公益目的而編列，藉由森林植被的覆蓋來截留雨水、減少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沖蝕以保護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避免土地流失，或是藉由植物根系來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固著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土壤、增加土壤間之孔隙，以達牢固土壤與涵養水源之作用。</w:t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　　臺灣位處太平洋邊緣，地理與地質因素特殊，地震及颱風發生頻繁，尤其在歷經九二一大地震及八八風災之後，中南部地區地表土石碎裂鬆動，使原本敏感的地質更加脆弱。加上近年全球氣候變遷顯著，年均溫日漸上升，海平面逐漸提高，乾旱缺水及颱風豪雨經常發生，威脅民眾安危的次數日益增加；豪雨侵襲則更容易引發大規模土石流，嚴重危害森林鄰近的部落、聚落及產業。面對氣候無常變化與詭譎難測，日益耗損與脆弱的自然環境生態，以及民眾對安全居住環境的渴望，更需要森林發揮其多樣公益性之功能。有鑑於此，本法第22條乃明定，凡國有林、公有林及私有林具有下列情形之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一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者，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均應編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為保安林：一、為預防水害、風害、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潮害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、鹽害、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煙害所必要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；二、為涵養水源、保護水庫所必要；三、為防止砂、土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崩壞及飛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沙、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墜石、泮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冰、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頹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雪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等害所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必要；四、為國防上、公共衛生、航行目標、漁業經營，以及保存名勝、古蹟、風景或自然保育所必要者。</w:t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　　保安林依其功能可劃分為：水害防備保安林、防風保安林、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潮害防備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保安林、鹽害保安林、煙害防止保安林、水源涵養保安林、土砂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捍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止保安林、飛沙防止保安林、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墜石防止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保安林、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防雪保安林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，以及有關國防、衛生保健、航行目標、漁業、風景、自然保育等十六類保安林。上述各類保安林中面積最大者為水源涵養保安林，其次為土砂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捍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止保安林，再次為風景保安林；每一種保安林都具有維護地形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地貌或保障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民眾安全等無可取代的功能。例如飛沙防止保安林，位於風沙強大的沿海地帶或河口兩岸，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可阻絕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過濾強風所攜帶的沙粒，避免農田或房舍遭到飛沙掩埋；又如水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害或潮害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防備保安林，大多位於洪水氾濫、海潮侵襲地區，可藉由森林調整河川流向，降低流速以防止水患。較特別的是漁業保安林，除用來阻隔砂石、強風或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潮浪外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，並利用森林遮蔽所形成的陰影，吸引近海魚群聚集躲藏，而林木枯枝落葉掉入海中，經過分解還能成為魚類食物，間接發展近海漁業資源。</w:t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lastRenderedPageBreak/>
        <w:t xml:space="preserve">　　臺灣森林樹種相當豐富，孕育多采多姿的動植物生態系。然而也因為森林蘊藏珍貴林木，以致竊取紅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檜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、扁柏、牛樟等盜伐案件猖獗，甚至有俗稱「山老鼠」之歹徒包圍、挑釁、威脅巡山員或山友情事發生。為嚴懲「山老鼠」竊取盜伐珍貴林木，確保森林發揮國土保安功能，立法院業已三讀通過本法第50條、第52條修正條文，並經總統於今（104）年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５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月６日公布施行。本法第50條修正後對收受、搬運、寄藏、故買或媒介贓物等犯行，將刑度提高為有期徒刑六月以上五年以下，且無拘役或科罰金之適用。另本法第52條為加重條款規定，凡符合刑責加重要件者，原處有期徒刑六個月以上五年以下，修法後則提高為一年以上七年以下；至於罰金之計算基準，亦修正提高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併科贓額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五倍至十倍之罰金。針對不法竊取貴重林木之犯行，例如盜取紅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檜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、扁柏、肖楠、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紅豆杉或牛樟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等具有生態或高經濟價值之林木，則應加重其刑二分之一，最高可處十年六月有期徒刑，以達嚇阻犯罪之效果。</w:t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outlineLvl w:val="3"/>
        <w:rPr>
          <w:rFonts w:ascii="新細明體" w:eastAsia="新細明體" w:hAnsi="新細明體" w:cs="新細明體" w:hint="eastAsia"/>
          <w:b/>
          <w:bCs/>
          <w:color w:val="0000FF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b/>
          <w:bCs/>
          <w:color w:val="0000FF"/>
          <w:kern w:val="0"/>
          <w:sz w:val="20"/>
          <w:szCs w:val="20"/>
        </w:rPr>
        <w:t>貳、簡介檢察機關查緝森林盜伐執行方案</w:t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　　臺灣森林面積廣達211萬8,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523餘公頃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，占全島陸地面積58.9％，在中高海拔之山區，仍保有為數不少的珍貴林木；其作用除了固持土壤外，並有供野生動物棲息功能，特別是紅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檜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、扁柏、牛樟等因材質優良，極具工藝價值，往往成為「山老鼠」覬覦牟利的目標。考量森林具有國土保安、水土保持、涵養水源、調節氣候、生物多樣性保育、林產經濟等公益及經濟效用，為保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土減災及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維護珍貴森林資源，本次《森林法》修正後，將以往依刑法處罰之竊取「森林主、副產物」及收受贓物等犯行，回歸本法第50條之規定論罪科刑。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此外，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市面上奇木藝品店販賣紅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檜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、扁柏、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紅豆杉或牛樟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等貴重木製品情形日增，恐有竊取林木集團與幕後銷贓集團掛勾，進行收受、搬運、寄藏、故買或媒介等犯行，不僅助長竊取林木歪風，並使贓物價格奇貨可居，增加檢警與林政機關查緝之困難，故本法第50條除將「竊取森林主、副產物」刑責提高外，並增訂應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併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科罰金新臺幣（下同）30萬元至300萬元。</w:t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　　所謂森林主產物，依〈國有林林產物處分規則〉第３條規定，係指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生立、枯損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、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倒伏之竹木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及餘留之根株、殘材而言，包括已與其所生長之土地分離，而仍留在林地之倒伏竹、木或餘留殘材。至於副產物，則是指樹皮、樹脂、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種實、落枝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、樹葉、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灌藤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、竹筍、草類、菌類及其他主產物以外之林產物。「山老鼠」竊取森林主副產物，並非只有盜伐珍貴林木之單一行為，通常伴隨壓毀周邊林木、挖掘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根株與擅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開道路等造成水土流失與環境破壞等浩劫，除對國土保安危害甚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鉅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，並造成森林生態難以回復之損害。有鑑於此，本法第52條將加重竊取森林主副產物之罪責，修正提高為有期徒刑一年以上七年以下。至於紅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檜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、扁柏、紅豆杉及牛樟等珍貴樹種，或為柏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檜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類北半球分布最南界，或為天然下種及人工育苗不易致林分更新困難，且須經數百年生長方能成巨木，不僅具有高經濟且在生態上有其特殊價值，修法後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爰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對於竊取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貴重木者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，予以加重其刑二分之一，以達遏阻不法及預防犯罪之效果。</w:t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　　根據行政院農業委員會林務局（下稱林務局）統計資料，林務局於96年度查獲盜伐林木案件為47件，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100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年度則成長至193件，該期間森林盜伐被害價值超過一億二千萬元；另竊取森林主副產物之行為，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103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年度共發生244件，被害價值亦達八千一百二十萬餘元。森林若遭人為盜伐或不當濫墾，將導致水源涵養、水土保持暨對抗溫室效應之功能喪失，該如何維護森林</w:t>
      </w:r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lastRenderedPageBreak/>
        <w:t>資源並永續經營管理，事關全民安全的生活環境，誠屬國人應嚴正面對的議題。尤其是「山老鼠」深入偏遠山區，盜伐珍貴林木之犯罪行為，通常會造成林地崩塌與毀壞，進而引發山崩落石或土石流等危機，實應立即加強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查察以防患未然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。臺灣高等法院檢察署為落實法務部所頒定之〈檢察機關排除民怨計畫〉，並有效整合檢察、警察及林政機關整體力量，已建置協調溝通聯繫平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臺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，聯合推動〈檢察機關查緝森林盜伐執行方案〉，彰顯法務部維護國家森林天然資源及查緝盜伐森林之決心。</w:t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　　本方案重要具體措施如下：一、本查緝行動由各地檢署與轄區警察、林業機關共同執行，並由地檢署邀集相關機關組成專案小組，視個案具體情況發動偵查作為；二、檢察、警察與林業機關間，應互相聯繫並提供易遭盜伐之高風險珍貴林木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地區情資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，藉以研判適當查緝時機；三、分析比對歷年盜伐林木、竊取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漂流木者之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身分，除清查列冊監控，並深入追查其共犯組織，嚴密追緝幕後盜伐主嫌及銷贓管道；四、從速從嚴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偵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結，如符合羈押要件，應即向法院聲請羈押；如不符羈押要件，應即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命交重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保。以嘉義縣阿里山鄉豐山村、南投縣與嘉義縣交界處水漾森林、雲林縣與南投縣及嘉義縣交界處雲峰地區為例，「山老鼠」竊取紅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檜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、扁柏、牛樟木案件猖獗；嘉義、南投及雲林地檢署乃於今年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４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月30日，與林務局嘉義、南投林管處和保安警察第七總隊森林警察大隊等機關，聯手實施埋伏、路檢等勤務，針對前揭山區同步全面清查與威力掃蕩，對違法盜伐集團形成莫大的威嚇效果。</w:t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outlineLvl w:val="3"/>
        <w:rPr>
          <w:rFonts w:ascii="新細明體" w:eastAsia="新細明體" w:hAnsi="新細明體" w:cs="新細明體" w:hint="eastAsia"/>
          <w:b/>
          <w:bCs/>
          <w:color w:val="0000FF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b/>
          <w:bCs/>
          <w:color w:val="0000FF"/>
          <w:kern w:val="0"/>
          <w:sz w:val="20"/>
          <w:szCs w:val="20"/>
        </w:rPr>
        <w:t>參、全民共同守護山林嚴密防範宵小盜伐</w:t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　　違反本法竊取森林主副產物之案件，多屬系統性或結構性犯罪，具有利益共同體掛勾本質，犯罪地點多位於偏僻原鄉地區，具有隱密而不易發現之特性，客觀環境上，難以一般偵查手段從事完備的證據蒐集與調查。縱使林政機關或司法警察雖知有盜伐之事實，但亦僅能查處呈現在表面的情況，難以深入清查該犯罪集團組織分子。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再者，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盜伐森林案件的第一現場，多處於隱密或偏僻之山區，亦難以實施布線或跟監。綜合考量法益保護之重要性、犯罪性質之隱密性及蒐集調查證據之困難度，在合目的性之必要範圍內，應容許查緝人員從事合法的通訊監察。有鑑於此，我國《通訊保障及監察法》第５條第１項第17款於103年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１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月29日增訂：有事實足認被告或犯罪嫌疑人，違犯本法第52條第１項或第２項之罪，並危害國家安全、經濟秩序或社會秩序情節重大，而有相當理由可信其通訊內容與本案有關，且不能或難以其他方法蒐集或調查證據者，得聲請通訊監察實施監聽。</w:t>
      </w:r>
    </w:p>
    <w:p w:rsidR="001D724C" w:rsidRDefault="00E07ECA" w:rsidP="00E07ECA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 xml:space="preserve">　　另外，本法第52條第１項針對違反50條第１項竊取森林主副產物之罪，共有８款加重刑責之事由。例如於保安林犯之、於行使林產物採取權時犯之、結夥二人以上或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僱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使他人犯之，以及為搬運贓物，使用牲口、船舶、車輛，或有搬運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造材之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設備等情形。就犯案之器材設備而言，依刑法第38條規定，供犯罪所用之物以屬於犯罪行為人所有者為限，予以沒收。但查緝實務現況，犯罪行為人常以租賃或借用車輛、器具等方式進行犯案，該等犯罪工具因非屬犯罪行為人所有，以致無法沒收而使行為人得一再使用，造成再次犯罪之機會大增，為此本法第52條第５項乃增訂：「犯本條之罪者，其供竊取之器材及第一項第六款之牲口、船舶、車輛，或有搬運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造材之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設備，不問屬於犯人與否，沒收之。」綜上，政府對於山老鼠集團絕對不會放過，</w:t>
      </w:r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lastRenderedPageBreak/>
        <w:t>將持續運作檢警林聯合查緝方案，並請全民共同守護山林，如有發現不法情事，可</w:t>
      </w:r>
      <w:proofErr w:type="gramStart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撥打免付</w:t>
      </w:r>
      <w:proofErr w:type="gramEnd"/>
      <w:r w:rsidRPr="00E07ECA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費電話0800-000930及0800-057930提出檢舉。</w:t>
      </w:r>
    </w:p>
    <w:p w:rsidR="001D724C" w:rsidRDefault="001D724C">
      <w:pPr>
        <w:widowControl/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</w:pPr>
      <w:r>
        <w:rPr>
          <w:rFonts w:ascii="新細明體" w:eastAsia="新細明體" w:hAnsi="新細明體" w:cs="新細明體"/>
          <w:color w:val="000000"/>
          <w:kern w:val="0"/>
          <w:sz w:val="20"/>
          <w:szCs w:val="20"/>
        </w:rPr>
        <w:br w:type="page"/>
      </w:r>
    </w:p>
    <w:p w:rsidR="00E07ECA" w:rsidRPr="00E07ECA" w:rsidRDefault="00E07ECA" w:rsidP="00E07ECA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</w:pPr>
      <w:bookmarkStart w:id="0" w:name="_GoBack"/>
      <w:bookmarkEnd w:id="0"/>
    </w:p>
    <w:p w:rsidR="001D724C" w:rsidRPr="001D724C" w:rsidRDefault="001D724C" w:rsidP="001D724C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Times New Roman"/>
          <w:b/>
          <w:bCs/>
          <w:color w:val="FF0000"/>
          <w:kern w:val="36"/>
          <w:sz w:val="36"/>
          <w:szCs w:val="36"/>
        </w:rPr>
      </w:pPr>
      <w:r w:rsidRPr="001D724C">
        <w:rPr>
          <w:rFonts w:ascii="新細明體" w:eastAsia="新細明體" w:hAnsi="新細明體" w:cs="Times New Roman" w:hint="eastAsia"/>
          <w:b/>
          <w:bCs/>
          <w:color w:val="FF0000"/>
          <w:kern w:val="36"/>
          <w:sz w:val="36"/>
          <w:szCs w:val="36"/>
        </w:rPr>
        <w:t>公務倫理法制的發展趨勢</w:t>
      </w:r>
    </w:p>
    <w:p w:rsidR="001D724C" w:rsidRPr="001D724C" w:rsidRDefault="001D724C" w:rsidP="001D724C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</w:pPr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◎劉昊洲</w:t>
      </w:r>
    </w:p>
    <w:p w:rsidR="001D724C" w:rsidRPr="001D724C" w:rsidRDefault="001D724C" w:rsidP="001D724C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</w:pPr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 xml:space="preserve">　　公務倫理法制是個新的概念，也是新的領域，知道的人自然不多。目前較常聽到的是公務倫理或行政倫理，由於公務人員保障暨培訓委員會及其他政府機關的積極宣導，全體公務員對於公務倫理或行政倫理漸漸有一定程度的認識與了解，縱使談不上十分熟稔，也絕對不會陌生。然而公務倫理法制是什麼？是否就是公務倫理？兩者是否相同？卻總是讓公務員困惑不已。</w:t>
      </w:r>
    </w:p>
    <w:p w:rsidR="001D724C" w:rsidRPr="001D724C" w:rsidRDefault="001D724C" w:rsidP="001D724C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</w:pPr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 xml:space="preserve">　　基本上，公務倫理法制並非公務倫理，但兩者卻有密切的關係。公務倫理發展在先，公務倫理法制在後；公務倫理範圍較廣，公務倫理法制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較狹；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公務倫理屬於倫理道德層次，公務倫理法制屬於法令規定層次；公務倫理的憑藉只有個人良心與社會清議，公務倫理法制則有國家力量的介入，如有違反者，必受懲罰。從嚴格意義言，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兩者究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有不同，卻也十分近似，難怪大家經常混淆不分。</w:t>
      </w:r>
    </w:p>
    <w:p w:rsidR="001D724C" w:rsidRPr="001D724C" w:rsidRDefault="001D724C" w:rsidP="001D724C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</w:pPr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 xml:space="preserve">　　從公務倫理到公務倫理法制，並不是一條平順的道路。在法制化的過程中，有順境也有逆境；經歷一番波折後，最終得能呈現公務倫理法制的結果。回顧來時路，放眼看前景，不難歸納此發展趨勢如下述六點：</w:t>
      </w:r>
    </w:p>
    <w:p w:rsidR="001D724C" w:rsidRPr="001D724C" w:rsidRDefault="001D724C" w:rsidP="001D724C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</w:pPr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 xml:space="preserve">　　一、由籠統概括到具體明確：公務倫理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的德目僅有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原則與方向，相關論述十分籠統概括，各人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解讀隨之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而異。一旦轉化為公務倫理法制，以條文呈現出來，即必須以更多、更精確的文字描述，因而變得較為具體明確，不再模糊不清。</w:t>
      </w:r>
    </w:p>
    <w:p w:rsidR="001D724C" w:rsidRPr="001D724C" w:rsidRDefault="001D724C" w:rsidP="001D724C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</w:pPr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 xml:space="preserve">　　二、由抽象訓示到客觀務實：昔日公務倫理總是充斥著道德宣示與抽象訓示，處處顯露領導者或立法者的意圖，所以「應」與「不得」的規定特別多。但在法治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勃興後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，即不能停留在理念層次或口號標語的階段，必須回到現實面，以客觀標準強化其操作性與可行性。</w:t>
      </w:r>
    </w:p>
    <w:p w:rsidR="001D724C" w:rsidRPr="001D724C" w:rsidRDefault="001D724C" w:rsidP="001D724C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</w:pPr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 xml:space="preserve">　　三、由一般普遍到個別事項：公務倫理原是全面性的、普遍性的，不只其範圍廣泛，也對所有公務員具有規範性，最早的《公務員服務法》即有此一特性。不過在不同的時空環境下，主流民意關注的重要事項不一，且就立法體例而言，也不可能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鉅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細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靡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遺地規範許多事項，所以每一法規只針對某一事項個別規定，乃屬當然。</w:t>
      </w:r>
    </w:p>
    <w:p w:rsidR="001D724C" w:rsidRPr="001D724C" w:rsidRDefault="001D724C" w:rsidP="001D724C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</w:pPr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 xml:space="preserve">　　四、由不得作為到積極應為：公務倫理法制為齊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一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標準，原以限制不得作為之義務為主，例如《公務員服務法》大多數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條文均屬絕對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不得作為或相對不得作為之規定，公務員如「消極不為」即屬合法。晚近為達一定之政策目的，已改此一方式，要求公務員必須積極作為，始為適法；例如申報及信託財產、迴避等規定，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均屬積極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應為的思維產物。</w:t>
      </w:r>
    </w:p>
    <w:p w:rsidR="001D724C" w:rsidRPr="001D724C" w:rsidRDefault="001D724C" w:rsidP="001D724C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</w:pPr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lastRenderedPageBreak/>
        <w:t xml:space="preserve">　　五、由行政規定而法律規定：公務倫理法制化的過程亦如同自然法的演進一般，最早可能只是主管機關的函釋規定，經過數年的實踐經驗，其後即以職權命令或行政規則出現；如有必要，最後再送請立法機關完成立法程序而成為法律。如行政中立，早先只是在歷次公職人員選舉之前，由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銓敘部與人事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行政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總處通函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規定，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嗣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經立法院三讀通過法案後，始成為法律規範。儘管由行政規定提升為法律規定的案例不多，但確實是值得關注的發展趨勢。</w:t>
      </w:r>
    </w:p>
    <w:p w:rsidR="001D724C" w:rsidRPr="001D724C" w:rsidRDefault="001D724C" w:rsidP="001D724C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</w:pPr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 xml:space="preserve">　　六、由最低標準到調整提高：為能在多元分歧的眾多意見中取得共識，儘快付諸施行，由倫理道德轉化為法規的第一步，都是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採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最低標準，只要及格就好；嗣後修正時，再視大家的接受度與遵守度，考量是否逐步調整提高。例如刑法關於酒醉駕車的處罰，《菸害防制法》關於吸菸的空間範圍等，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均是如此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；公務倫理法制化的作法亦不例外。</w:t>
      </w:r>
    </w:p>
    <w:p w:rsidR="001D724C" w:rsidRPr="001D724C" w:rsidRDefault="001D724C" w:rsidP="001D724C">
      <w:pPr>
        <w:widowControl/>
        <w:spacing w:before="100" w:beforeAutospacing="1" w:after="100" w:afterAutospacing="1" w:line="270" w:lineRule="atLeast"/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</w:pPr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 xml:space="preserve">　　</w:t>
      </w:r>
      <w:proofErr w:type="gramStart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總之，</w:t>
      </w:r>
      <w:proofErr w:type="gramEnd"/>
      <w:r w:rsidRPr="001D724C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當前嚴格意義的公務倫理法制數量儘管不是很多，然而在「依法而治」的社會氛圍以及一些有權者「迷思法律權威」的心態之下，未來勢必會不斷增加；就其實質而言，也一定會有一些改變。如上所述，未來可能的發展趨勢將不難理解。</w:t>
      </w:r>
    </w:p>
    <w:p w:rsidR="002C231B" w:rsidRPr="00E07ECA" w:rsidRDefault="001D724C" w:rsidP="001D724C">
      <w:r w:rsidRPr="001D724C">
        <w:rPr>
          <w:rFonts w:ascii="新細明體" w:eastAsia="新細明體" w:hAnsi="新細明體" w:cs="Times New Roman" w:hint="eastAsia"/>
          <w:b/>
          <w:bCs/>
          <w:color w:val="000000"/>
          <w:kern w:val="0"/>
          <w:sz w:val="20"/>
          <w:szCs w:val="20"/>
        </w:rPr>
        <w:t>（作者為考試院保訓委員）</w:t>
      </w:r>
    </w:p>
    <w:sectPr w:rsidR="002C231B" w:rsidRPr="00E07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CA"/>
    <w:rsid w:val="001D724C"/>
    <w:rsid w:val="002C231B"/>
    <w:rsid w:val="00E0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A8934-AD66-41C5-BB47-CC2F5C13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07EC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07EC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07EC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E07ECA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07E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2office">
    <w:name w:val="d2_office"/>
    <w:basedOn w:val="a"/>
    <w:rsid w:val="001D72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2015-07-09T00:22:00Z</dcterms:created>
  <dcterms:modified xsi:type="dcterms:W3CDTF">2015-07-09T00:24:00Z</dcterms:modified>
</cp:coreProperties>
</file>