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32" w:rsidRPr="00690832" w:rsidRDefault="00690832" w:rsidP="00690832">
      <w:pPr>
        <w:widowControl/>
        <w:outlineLvl w:val="0"/>
        <w:rPr>
          <w:rFonts w:ascii="Arial" w:eastAsia="新細明體" w:hAnsi="Arial" w:cs="Arial"/>
          <w:spacing w:val="15"/>
          <w:kern w:val="36"/>
          <w:sz w:val="48"/>
          <w:szCs w:val="48"/>
        </w:rPr>
      </w:pPr>
      <w:r w:rsidRPr="00690832">
        <w:rPr>
          <w:rFonts w:ascii="Arial" w:eastAsia="新細明體" w:hAnsi="Arial" w:cs="Arial"/>
          <w:spacing w:val="15"/>
          <w:kern w:val="36"/>
          <w:sz w:val="48"/>
          <w:szCs w:val="48"/>
        </w:rPr>
        <w:t>陽光法案說明</w:t>
      </w:r>
    </w:p>
    <w:p w:rsidR="00690832" w:rsidRPr="00690832" w:rsidRDefault="00690832" w:rsidP="00B301FA">
      <w:pPr>
        <w:widowControl/>
        <w:spacing w:after="120" w:line="336" w:lineRule="auto"/>
        <w:ind w:left="720"/>
        <w:jc w:val="right"/>
        <w:rPr>
          <w:rFonts w:ascii="Arial" w:eastAsia="新細明體" w:hAnsi="Arial" w:cs="Arial"/>
          <w:spacing w:val="15"/>
          <w:kern w:val="0"/>
          <w:sz w:val="20"/>
          <w:szCs w:val="20"/>
        </w:rPr>
      </w:pP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發布單位：政風室</w:t>
      </w:r>
    </w:p>
    <w:p w:rsidR="00690832" w:rsidRPr="00690832" w:rsidRDefault="00690832" w:rsidP="00690832">
      <w:pPr>
        <w:widowControl/>
        <w:spacing w:after="360" w:line="384" w:lineRule="auto"/>
        <w:rPr>
          <w:rFonts w:ascii="Arial" w:eastAsia="新細明體" w:hAnsi="Arial" w:cs="Arial"/>
          <w:spacing w:val="15"/>
          <w:kern w:val="0"/>
          <w:sz w:val="20"/>
          <w:szCs w:val="20"/>
        </w:rPr>
      </w:pP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所謂「陽光是最佳的防腐劑」，政治制度的透明化、公開化是政府清明的表徵，陽光法案即在促成行政之透明，以使行政行為能被外部監督，避免弊端發生，較有名者包含「公職人員財產申報法」、「利益衝突迴避法」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...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並對政治獻金、遊說等行政行為立法。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 xml:space="preserve"> 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br/>
        <w:t>1.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利益衝突迴避法參考函釋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(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資料來源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: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法務部廉政署網頁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)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br/>
        <w:t>2.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利益衝突迴避法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(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資料來源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: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全國法規資料庫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)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br/>
        <w:t>3.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公職人員財產申報法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(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資料來源：全國法規資料庫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)</w:t>
      </w:r>
    </w:p>
    <w:p w:rsidR="003D7092" w:rsidRPr="00B301FA" w:rsidRDefault="00690832" w:rsidP="00B301FA">
      <w:pPr>
        <w:widowControl/>
        <w:spacing w:after="360" w:line="384" w:lineRule="auto"/>
        <w:rPr>
          <w:rFonts w:ascii="Arial" w:eastAsia="新細明體" w:hAnsi="Arial" w:cs="Arial"/>
          <w:spacing w:val="15"/>
          <w:kern w:val="0"/>
          <w:sz w:val="20"/>
          <w:szCs w:val="20"/>
        </w:rPr>
      </w:pP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>連結網站</w:t>
      </w:r>
      <w:r w:rsidR="00B301FA">
        <w:rPr>
          <w:rFonts w:ascii="Arial" w:eastAsia="新細明體" w:hAnsi="Arial" w:cs="Arial"/>
          <w:spacing w:val="15"/>
          <w:kern w:val="0"/>
          <w:sz w:val="20"/>
          <w:szCs w:val="20"/>
        </w:rPr>
        <w:t>:</w:t>
      </w:r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t xml:space="preserve"> </w:t>
      </w:r>
      <w:hyperlink r:id="rId8" w:tgtFrame="_blank" w:tooltip="陽光法案說明(另開視窗) " w:history="1">
        <w:r w:rsidRPr="00690832">
          <w:rPr>
            <w:rFonts w:ascii="Arial" w:eastAsia="新細明體" w:hAnsi="Arial" w:cs="Arial"/>
            <w:color w:val="004982"/>
            <w:spacing w:val="15"/>
            <w:kern w:val="0"/>
            <w:sz w:val="20"/>
            <w:szCs w:val="20"/>
            <w:u w:val="single"/>
          </w:rPr>
          <w:t>http://www.aac.moj.gov.tw/lp.asp?CtNode=36740&amp;CtUnit=10974&amp;BaseDSD=7&amp;mp=289</w:t>
        </w:r>
      </w:hyperlink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br/>
      </w:r>
      <w:hyperlink r:id="rId9" w:history="1">
        <w:r w:rsidRPr="00690832">
          <w:rPr>
            <w:rFonts w:ascii="Arial" w:eastAsia="新細明體" w:hAnsi="Arial" w:cs="Arial"/>
            <w:color w:val="004982"/>
            <w:spacing w:val="15"/>
            <w:kern w:val="0"/>
            <w:sz w:val="20"/>
            <w:szCs w:val="20"/>
            <w:u w:val="single"/>
          </w:rPr>
          <w:t>http://law.moj.gov.tw/LawClass/LawAll.aspx?PCode=I0070008</w:t>
        </w:r>
      </w:hyperlink>
      <w:r w:rsidRPr="00690832">
        <w:rPr>
          <w:rFonts w:ascii="Arial" w:eastAsia="新細明體" w:hAnsi="Arial" w:cs="Arial"/>
          <w:spacing w:val="15"/>
          <w:kern w:val="0"/>
          <w:sz w:val="20"/>
          <w:szCs w:val="20"/>
        </w:rPr>
        <w:br/>
      </w:r>
      <w:hyperlink r:id="rId10" w:history="1">
        <w:r w:rsidRPr="00690832">
          <w:rPr>
            <w:rFonts w:ascii="Arial" w:eastAsia="新細明體" w:hAnsi="Arial" w:cs="Arial"/>
            <w:color w:val="004982"/>
            <w:spacing w:val="15"/>
            <w:kern w:val="0"/>
            <w:sz w:val="20"/>
            <w:szCs w:val="20"/>
            <w:u w:val="single"/>
          </w:rPr>
          <w:t>http://law.moj.gov.tw/LawClass/LawAll.aspx?PCode=I0070005</w:t>
        </w:r>
      </w:hyperlink>
      <w:bookmarkStart w:id="0" w:name="_GoBack"/>
      <w:bookmarkEnd w:id="0"/>
    </w:p>
    <w:sectPr w:rsidR="003D7092" w:rsidRPr="00B301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05" w:rsidRDefault="00425805" w:rsidP="00B301FA">
      <w:r>
        <w:separator/>
      </w:r>
    </w:p>
  </w:endnote>
  <w:endnote w:type="continuationSeparator" w:id="0">
    <w:p w:rsidR="00425805" w:rsidRDefault="00425805" w:rsidP="00B3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05" w:rsidRDefault="00425805" w:rsidP="00B301FA">
      <w:r>
        <w:separator/>
      </w:r>
    </w:p>
  </w:footnote>
  <w:footnote w:type="continuationSeparator" w:id="0">
    <w:p w:rsidR="00425805" w:rsidRDefault="00425805" w:rsidP="00B3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CB1"/>
    <w:multiLevelType w:val="multilevel"/>
    <w:tmpl w:val="05CC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753BE"/>
    <w:multiLevelType w:val="multilevel"/>
    <w:tmpl w:val="E36A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32"/>
    <w:rsid w:val="003D7092"/>
    <w:rsid w:val="00425805"/>
    <w:rsid w:val="00690832"/>
    <w:rsid w:val="00B3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90832"/>
    <w:pPr>
      <w:widowControl/>
      <w:outlineLvl w:val="0"/>
    </w:pPr>
    <w:rPr>
      <w:rFonts w:ascii="新細明體" w:eastAsia="新細明體" w:hAnsi="新細明體" w:cs="新細明體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90832"/>
    <w:rPr>
      <w:rFonts w:ascii="新細明體" w:eastAsia="新細明體" w:hAnsi="新細明體" w:cs="新細明體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90832"/>
    <w:rPr>
      <w:color w:val="004982"/>
      <w:u w:val="single"/>
    </w:rPr>
  </w:style>
  <w:style w:type="character" w:styleId="a4">
    <w:name w:val="Emphasis"/>
    <w:basedOn w:val="a0"/>
    <w:uiPriority w:val="20"/>
    <w:qFormat/>
    <w:rsid w:val="00690832"/>
    <w:rPr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690832"/>
    <w:pPr>
      <w:widowControl/>
      <w:spacing w:after="360" w:line="384" w:lineRule="auto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30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01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01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90832"/>
    <w:pPr>
      <w:widowControl/>
      <w:outlineLvl w:val="0"/>
    </w:pPr>
    <w:rPr>
      <w:rFonts w:ascii="新細明體" w:eastAsia="新細明體" w:hAnsi="新細明體" w:cs="新細明體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90832"/>
    <w:rPr>
      <w:rFonts w:ascii="新細明體" w:eastAsia="新細明體" w:hAnsi="新細明體" w:cs="新細明體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90832"/>
    <w:rPr>
      <w:color w:val="004982"/>
      <w:u w:val="single"/>
    </w:rPr>
  </w:style>
  <w:style w:type="character" w:styleId="a4">
    <w:name w:val="Emphasis"/>
    <w:basedOn w:val="a0"/>
    <w:uiPriority w:val="20"/>
    <w:qFormat/>
    <w:rsid w:val="00690832"/>
    <w:rPr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690832"/>
    <w:pPr>
      <w:widowControl/>
      <w:spacing w:after="360" w:line="384" w:lineRule="auto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30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01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01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.moj.gov.tw/lp.asp?CtNode=36740&amp;CtUnit=10974&amp;BaseDSD=7&amp;mp=2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w.moj.gov.tw/LawClass/LawAll.aspx?PCode=I007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.moj.gov.tw/LawClass/LawAll.aspx?PCode=I00700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施玟宏</dc:creator>
  <cp:lastModifiedBy>USER</cp:lastModifiedBy>
  <cp:revision>2</cp:revision>
  <dcterms:created xsi:type="dcterms:W3CDTF">2015-04-27T01:26:00Z</dcterms:created>
  <dcterms:modified xsi:type="dcterms:W3CDTF">2015-05-28T08:41:00Z</dcterms:modified>
</cp:coreProperties>
</file>