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F0" w:rsidRPr="00C203F0" w:rsidRDefault="00C203F0" w:rsidP="00C203F0">
      <w:pPr>
        <w:pStyle w:val="Web"/>
        <w:rPr>
          <w:rFonts w:ascii="標楷體" w:eastAsia="標楷體" w:hAnsi="標楷體" w:cs="Arial"/>
          <w:spacing w:val="15"/>
          <w:sz w:val="20"/>
          <w:szCs w:val="20"/>
        </w:rPr>
      </w:pPr>
      <w:bookmarkStart w:id="0" w:name="_GoBack"/>
      <w:r w:rsidRPr="00C203F0">
        <w:rPr>
          <w:rFonts w:ascii="標楷體" w:eastAsia="標楷體" w:hAnsi="標楷體" w:cs="Arial"/>
          <w:spacing w:val="15"/>
          <w:sz w:val="20"/>
          <w:szCs w:val="20"/>
        </w:rPr>
        <w:t>桃園市政府員工廉政倫理規範</w:t>
      </w:r>
      <w:bookmarkEnd w:id="0"/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中華民國104年2月9日府</w:t>
      </w:r>
      <w:proofErr w:type="gramStart"/>
      <w:r w:rsidRPr="00C203F0">
        <w:rPr>
          <w:rFonts w:ascii="標楷體" w:eastAsia="標楷體" w:hAnsi="標楷體" w:cs="Arial"/>
          <w:spacing w:val="15"/>
          <w:sz w:val="20"/>
          <w:szCs w:val="20"/>
        </w:rPr>
        <w:t>政預字第1040036876號函訂</w:t>
      </w:r>
      <w:proofErr w:type="gramEnd"/>
      <w:r w:rsidRPr="00C203F0">
        <w:rPr>
          <w:rFonts w:ascii="標楷體" w:eastAsia="標楷體" w:hAnsi="標楷體" w:cs="Arial"/>
          <w:spacing w:val="15"/>
          <w:sz w:val="20"/>
          <w:szCs w:val="20"/>
        </w:rPr>
        <w:t xml:space="preserve">定發布 </w:t>
      </w:r>
    </w:p>
    <w:p w:rsidR="00C203F0" w:rsidRPr="00C203F0" w:rsidRDefault="00C203F0" w:rsidP="00C203F0">
      <w:pPr>
        <w:pStyle w:val="Web"/>
        <w:rPr>
          <w:rFonts w:ascii="標楷體" w:eastAsia="標楷體" w:hAnsi="標楷體" w:cs="Arial"/>
          <w:spacing w:val="15"/>
          <w:sz w:val="20"/>
          <w:szCs w:val="20"/>
        </w:rPr>
      </w:pPr>
      <w:r w:rsidRPr="00C203F0">
        <w:rPr>
          <w:rFonts w:ascii="標楷體" w:eastAsia="標楷體" w:hAnsi="標楷體" w:cs="Arial"/>
          <w:spacing w:val="15"/>
          <w:sz w:val="20"/>
          <w:szCs w:val="20"/>
        </w:rPr>
        <w:t>一、桃園市政府（以下簡稱本府）為使所屬員工執行職務，廉潔自持、公正無私及依法行政，並提升政府之清廉形象，特訂定本規範。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二、本規範用詞，定義如下：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（一）本府員工：指服務於本府及所屬各機關、學校及事業機構受有薪俸之人員。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（二）與其職務有利害關係：指個人、法人、團體或其他單位與本機關（構）或其所屬機關（構）間，具有下列情形之</w:t>
      </w:r>
      <w:proofErr w:type="gramStart"/>
      <w:r w:rsidRPr="00C203F0">
        <w:rPr>
          <w:rFonts w:ascii="標楷體" w:eastAsia="標楷體" w:hAnsi="標楷體" w:cs="Arial"/>
          <w:spacing w:val="15"/>
          <w:sz w:val="20"/>
          <w:szCs w:val="20"/>
        </w:rPr>
        <w:t>一</w:t>
      </w:r>
      <w:proofErr w:type="gramEnd"/>
      <w:r w:rsidRPr="00C203F0">
        <w:rPr>
          <w:rFonts w:ascii="標楷體" w:eastAsia="標楷體" w:hAnsi="標楷體" w:cs="Arial"/>
          <w:spacing w:val="15"/>
          <w:sz w:val="20"/>
          <w:szCs w:val="20"/>
        </w:rPr>
        <w:t>者：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1、業務往來、指揮監督或費用補(獎</w:t>
      </w:r>
      <w:proofErr w:type="gramStart"/>
      <w:r w:rsidRPr="00C203F0">
        <w:rPr>
          <w:rFonts w:ascii="標楷體" w:eastAsia="標楷體" w:hAnsi="標楷體" w:cs="Arial"/>
          <w:spacing w:val="15"/>
          <w:sz w:val="20"/>
          <w:szCs w:val="20"/>
        </w:rPr>
        <w:t>）</w:t>
      </w:r>
      <w:proofErr w:type="gramEnd"/>
      <w:r w:rsidRPr="00C203F0">
        <w:rPr>
          <w:rFonts w:ascii="標楷體" w:eastAsia="標楷體" w:hAnsi="標楷體" w:cs="Arial"/>
          <w:spacing w:val="15"/>
          <w:sz w:val="20"/>
          <w:szCs w:val="20"/>
        </w:rPr>
        <w:t>助等關係。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2、正在尋求、進行或已訂立承攬、買賣或其他契約關係。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3、其他因本機關（構）業務之決定、執行或不執行，將遭受有利或不利之影響。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（三）正常社交禮俗標準：指一般人社交往來，市價不超過新臺幣三千元者。但同一年度來自同一來源受贈財物以新臺幣一萬元為限。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（四）公務禮儀：指基於公務需要，在國內（外）訪問、接待外賓、推動業務及溝通協調時，依禮貌、慣例或習俗所為之活動。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（五）請託關說：指其內容涉及本機關（構）或所屬機關（構）業務具體事項之決定、執行或不執行，且因該事項之決定、執行或不執行致有違法或不當而影響特定權利義務之虞。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三、本府員工應依法公正執行職務，以公共利益為依歸，不得假借職務上之權力、方法、機會圖本人或第三人不正之利益。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四、本府員工不得要求、期約或收受與其職務有利害關係者餽贈財物。但有下列情形之一，且係偶發而無影響特定權利義務之虞時，得受贈之：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（一）屬公務禮儀。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lastRenderedPageBreak/>
        <w:t>（二）長官之獎勵、救助或慰問。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（三）受贈之財物市價在新臺幣五百元以下；或對本機關（構）內多數人為餽贈，其市價總額在新臺幣一千元以下。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（四）因訂婚、結婚、生育、喬遷、就職、</w:t>
      </w:r>
      <w:proofErr w:type="gramStart"/>
      <w:r w:rsidRPr="00C203F0">
        <w:rPr>
          <w:rFonts w:ascii="標楷體" w:eastAsia="標楷體" w:hAnsi="標楷體" w:cs="Arial"/>
          <w:spacing w:val="15"/>
          <w:sz w:val="20"/>
          <w:szCs w:val="20"/>
        </w:rPr>
        <w:t>陞遷異</w:t>
      </w:r>
      <w:proofErr w:type="gramEnd"/>
      <w:r w:rsidRPr="00C203F0">
        <w:rPr>
          <w:rFonts w:ascii="標楷體" w:eastAsia="標楷體" w:hAnsi="標楷體" w:cs="Arial"/>
          <w:spacing w:val="15"/>
          <w:sz w:val="20"/>
          <w:szCs w:val="20"/>
        </w:rPr>
        <w:t>動、退休、辭職、離職及本人、配偶或直系親屬之傷病、死亡受贈之財物，其市價不超過正常社交禮俗標準。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五、本府員工遇有受贈財物情事，應依下列程序處理：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（一）與其職務有利害關係者所為之餽贈，除前點但書規定之情形外，應予拒絕或退還，並簽報其長官及知會政風機構；無法退還時，應於受贈之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日起三日內，交政風機構處理。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（二）除親屬或經常交往朋友外，與其無職務上利害關係者所為之餽贈，市價超過正常社交禮俗標準時，應於受贈之日起三日內，簽報其長官，必要時並知會政風機構。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各機關（構）之政風機構應視受贈財物之性質及價值，提出付費收受、歸公、轉贈慈善機構或其他適當建議，簽報機關首長核定後執行。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六、下列情形推定為本府員工之受贈財物：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（一）以本府員工配偶、直系血親、同財共居家屬之名義收受者。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（二）藉由第三人收受後轉交本府員工本人或前款之人者。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七、本府員工不得參加與其職務有利害關係者之飲宴應酬。但有下列情形之</w:t>
      </w:r>
      <w:proofErr w:type="gramStart"/>
      <w:r w:rsidRPr="00C203F0">
        <w:rPr>
          <w:rFonts w:ascii="標楷體" w:eastAsia="標楷體" w:hAnsi="標楷體" w:cs="Arial"/>
          <w:spacing w:val="15"/>
          <w:sz w:val="20"/>
          <w:szCs w:val="20"/>
        </w:rPr>
        <w:t>ㄧ</w:t>
      </w:r>
      <w:proofErr w:type="gramEnd"/>
      <w:r w:rsidRPr="00C203F0">
        <w:rPr>
          <w:rFonts w:ascii="標楷體" w:eastAsia="標楷體" w:hAnsi="標楷體" w:cs="Arial"/>
          <w:spacing w:val="15"/>
          <w:sz w:val="20"/>
          <w:szCs w:val="20"/>
        </w:rPr>
        <w:t>者，不在此限：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（一）因公務禮儀確有必要參加。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（二）因民俗節慶公開舉辦之活動且邀請一般人參加。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（三）屬長官對屬員之獎勵、慰勞。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（四）因訂婚、結婚、生育、喬遷、就職、</w:t>
      </w:r>
      <w:proofErr w:type="gramStart"/>
      <w:r w:rsidRPr="00C203F0">
        <w:rPr>
          <w:rFonts w:ascii="標楷體" w:eastAsia="標楷體" w:hAnsi="標楷體" w:cs="Arial"/>
          <w:spacing w:val="15"/>
          <w:sz w:val="20"/>
          <w:szCs w:val="20"/>
        </w:rPr>
        <w:t>陞遷異</w:t>
      </w:r>
      <w:proofErr w:type="gramEnd"/>
      <w:r w:rsidRPr="00C203F0">
        <w:rPr>
          <w:rFonts w:ascii="標楷體" w:eastAsia="標楷體" w:hAnsi="標楷體" w:cs="Arial"/>
          <w:spacing w:val="15"/>
          <w:sz w:val="20"/>
          <w:szCs w:val="20"/>
        </w:rPr>
        <w:t>動、退休、辭職、離職等所舉辦之活動，而未超過正常社交禮俗標準。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lastRenderedPageBreak/>
        <w:t>本府員工受邀之飲宴應酬，雖與其無職務上利害關係，而與其身分、職務顯不相宜者，仍應避免。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八、本府員工除因公務需要經報請長官同意，或有其他正當理由者外，不得涉足不妥當之場所。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本府員工不得與其職務有利害關係之相關人員為不當接觸。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九、本府員工於視察、調查、出差或參加會議等活動時，不得在茶點及執行公務確有必要之簡便食宿、交通以外接受相關機關（構）飲宴或其他應酬活動。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十、本府員工遇有第七點第一項第一款或第二款情形，應簽報長官核准並知會政風機構後始得參加。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十一、本府員工遇有請託關說時，應於三日內簽報其長官並知會政風機構。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十二、各機關（構）之政風機構受理受贈財物、飲宴應酬、請託關說或其他涉及廉政倫理事件之知會或通知後，應即登錄建檔。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十三、本府員工除依法令規定外，不得兼任其他公職或業務。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十四、本府員工出席演講、座談、研習及評審（選）等活動，支領鐘點費每小時不得超過新臺幣五千元。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本府員工參加前項活動，另有支領稿費者，每千字不得超過新臺幣二千元。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本府員工參加第一項活動，如屬與其職務有利害關係者籌辦或邀請，應先簽報其長官核准及知會政風機構登錄後始得前往。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十五、本規範所定應知會政風機構並簽報其長官之規定，於機關（構）首長，應逕行通知政風機構。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十六、本府員工應儘量避免金錢借貸、邀集或參與合會、擔任財物或身分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之保證人。如確有必要者，應知會政風機構。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機關（構）首長及單位主管應加強對屬員之品德操守考核，發現有財務異常、生活</w:t>
      </w:r>
      <w:proofErr w:type="gramStart"/>
      <w:r w:rsidRPr="00C203F0">
        <w:rPr>
          <w:rFonts w:ascii="標楷體" w:eastAsia="標楷體" w:hAnsi="標楷體" w:cs="Arial"/>
          <w:spacing w:val="15"/>
          <w:sz w:val="20"/>
          <w:szCs w:val="20"/>
        </w:rPr>
        <w:t>違常者</w:t>
      </w:r>
      <w:proofErr w:type="gramEnd"/>
      <w:r w:rsidRPr="00C203F0">
        <w:rPr>
          <w:rFonts w:ascii="標楷體" w:eastAsia="標楷體" w:hAnsi="標楷體" w:cs="Arial"/>
          <w:spacing w:val="15"/>
          <w:sz w:val="20"/>
          <w:szCs w:val="20"/>
        </w:rPr>
        <w:t>，應立即反應及處理。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lastRenderedPageBreak/>
        <w:t>十七、各機關（構）之政風機構應指派專人，負責本規範之解釋、個案說明及提供</w:t>
      </w:r>
      <w:proofErr w:type="gramStart"/>
      <w:r w:rsidRPr="00C203F0">
        <w:rPr>
          <w:rFonts w:ascii="標楷體" w:eastAsia="標楷體" w:hAnsi="標楷體" w:cs="Arial"/>
          <w:spacing w:val="15"/>
          <w:sz w:val="20"/>
          <w:szCs w:val="20"/>
        </w:rPr>
        <w:t>其他廉</w:t>
      </w:r>
      <w:proofErr w:type="gramEnd"/>
      <w:r w:rsidRPr="00C203F0">
        <w:rPr>
          <w:rFonts w:ascii="標楷體" w:eastAsia="標楷體" w:hAnsi="標楷體" w:cs="Arial"/>
          <w:spacing w:val="15"/>
          <w:sz w:val="20"/>
          <w:szCs w:val="20"/>
        </w:rPr>
        <w:t>政倫理諮詢服務。受理諮詢業務，如有疑義得送請上一級政風機構處理。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前項所稱上一級政風機構，指受理諮詢機關（構）直屬之上一級機關政風機構，其無上級機關者，由該機關（構）執行本規範所規定上級機關之職權。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前項所稱無上級機關者，指本府所屬各一級機關。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十八、本規範所定應由政風機構處理之事項，於未設政風機構者，由兼辦政風業務人員或其首長指定之人員處理。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十九、本府員工違反本規範經查證屬實者，依相關規定懲處；其涉及刑事責任者，移送司法機關辦理。</w:t>
      </w:r>
      <w:r w:rsidRPr="00C203F0">
        <w:rPr>
          <w:rFonts w:ascii="標楷體" w:eastAsia="標楷體" w:hAnsi="標楷體" w:cs="Arial"/>
          <w:spacing w:val="15"/>
          <w:sz w:val="20"/>
          <w:szCs w:val="20"/>
        </w:rPr>
        <w:br/>
        <w:t>二十、各機關(構)得視需要，對本規範所定之各項標準及</w:t>
      </w:r>
      <w:proofErr w:type="gramStart"/>
      <w:r w:rsidRPr="00C203F0">
        <w:rPr>
          <w:rFonts w:ascii="標楷體" w:eastAsia="標楷體" w:hAnsi="標楷體" w:cs="Arial"/>
          <w:spacing w:val="15"/>
          <w:sz w:val="20"/>
          <w:szCs w:val="20"/>
        </w:rPr>
        <w:t>其他廉</w:t>
      </w:r>
      <w:proofErr w:type="gramEnd"/>
      <w:r w:rsidRPr="00C203F0">
        <w:rPr>
          <w:rFonts w:ascii="標楷體" w:eastAsia="標楷體" w:hAnsi="標楷體" w:cs="Arial"/>
          <w:spacing w:val="15"/>
          <w:sz w:val="20"/>
          <w:szCs w:val="20"/>
        </w:rPr>
        <w:t>政倫理事項，訂定更嚴格之規範。</w:t>
      </w:r>
    </w:p>
    <w:p w:rsidR="003D7092" w:rsidRPr="00C203F0" w:rsidRDefault="003D7092">
      <w:pPr>
        <w:rPr>
          <w:rFonts w:ascii="標楷體" w:eastAsia="標楷體" w:hAnsi="標楷體"/>
          <w:sz w:val="20"/>
          <w:szCs w:val="20"/>
        </w:rPr>
      </w:pPr>
    </w:p>
    <w:sectPr w:rsidR="003D7092" w:rsidRPr="00C20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F0"/>
    <w:rsid w:val="003D7092"/>
    <w:rsid w:val="00C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03F0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03F0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施玟宏</dc:creator>
  <cp:lastModifiedBy>施玟宏</cp:lastModifiedBy>
  <cp:revision>1</cp:revision>
  <dcterms:created xsi:type="dcterms:W3CDTF">2015-04-27T01:23:00Z</dcterms:created>
  <dcterms:modified xsi:type="dcterms:W3CDTF">2015-04-27T01:25:00Z</dcterms:modified>
</cp:coreProperties>
</file>